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516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vaccination against bacterial meningitis of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(c), each student shall be fully immunized against bacterial meningitis in accordance with the most recent recommendations of the Advisory Committee on Immunization Practices of the Centers for Disease Control and Prevention. The executive commissioner of the Health and Human Services Commission shall adopt rules for the implementation of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June 1, 2022, the executive commissioner of the Health and Human Services Commission shall adopt the rules necessary to implement Section 38.001(a-1),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38.001(a-1), Education Code, as added by this Act, applies beginning with the 2022-2023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