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Beckley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518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study by the Texas Education Agency regarding recommended standards for school district facility maintenance and custodial services.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DEFINITION. </w:t>
      </w:r>
      <w:r>
        <w:t xml:space="preserve"> </w:t>
      </w:r>
      <w:r>
        <w:t xml:space="preserve">In this Act, "agency" means the Texas Education Agency.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STUDY REGARDING RECOMMENDED STANDARDS FOR MAINTENANCE AND CUSTODIAL SERVICES.  (a) </w:t>
      </w:r>
      <w:r>
        <w:t xml:space="preserve"> </w:t>
      </w:r>
      <w:r>
        <w:t xml:space="preserve">The agency shall conduct a study regarding recommended standards for school district maintenance of facilities and custodial services, including a standard for appropriate custodial workloads to adequately maintain a school district's facilities.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In conducting the study, the agency shall consider: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square footage of a typical elementary, middle, and high school;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square footage of administrative and district facilities other than instructional facilities in a typical school district;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appropriate levels of custodial service to provide for proper maintenance of school district facilities;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the time required for different levels of custodial service based on different numbers of custodial employees and resources.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study must identify: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maintenance and custodial staff needed to adequately meet a typical school district's needs;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tasks required to be completed by maintenance and custodial staff, including time estimates for completion of each task by an adequately equipped maintenance and custodial staff;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any additional funding or other resources, if any, needed by school districts to meet the standards recommended by the study for school district maintenance of facilities and custodial services.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REPORT TO LEGISLATURE.  Not later than December 1, 2022, the agency shall submit a report to the legislature that includes the results of the study conducted under Section 2 of this Act and any associated recommendations.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EXPIRATION.  This Act expires September 1, 2023.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EFFECTIVE DATE. </w:t>
      </w:r>
      <w:r>
        <w:t xml:space="preserve"> </w:t>
      </w:r>
      <w:r>
        <w:t xml:space="preserve">This Act takes effect immediately if it receives a vote of two-thirds of all the members elected to each house, as provided by Section 39, Article III, </w:t>
      </w:r>
      <w:r>
        <w:t xml:space="preserve">Texas Constitution. 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518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