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87R1924 NC-F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92.0135.</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ponding of water at or near the place where heavy or excessive rain fell.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92.0135,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