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Shine</w:t>
      </w:r>
      <w:r>
        <w:t xml:space="preserve"> (Senate Sponsor</w:t>
      </w:r>
      <w:r xml:space="preserve">
        <w:t> </w:t>
      </w:r>
      <w:r>
        <w:t xml:space="preserve">-</w:t>
      </w:r>
      <w:r xml:space="preserve">
        <w:t> </w:t>
      </w:r>
      <w:r>
        <w:t xml:space="preserve">Buckingham)</w:t>
      </w:r>
      <w:r xml:space="preserve">
        <w:tab wTab="150" tlc="none" cTlc="0"/>
      </w:r>
      <w:r>
        <w:t xml:space="preserve">H.B.</w:t>
      </w:r>
      <w:r xml:space="preserve">
        <w:t> </w:t>
      </w:r>
      <w:r>
        <w:t xml:space="preserve">No.</w:t>
      </w:r>
      <w:r xml:space="preserve">
        <w:t> </w:t>
      </w:r>
      <w:r>
        <w:t xml:space="preserve">532</w:t>
      </w:r>
    </w:p>
    <w:p w:rsidR="003F3435" w:rsidRDefault="0032493E">
      <w:pPr>
        <w:spacing w:line="480" w:lineRule="auto"/>
        <w:ind w:firstLine="720"/>
        <w:jc w:val="both"/>
      </w:pPr>
      <w:r>
        <w:t xml:space="preserve">(In the Senate</w:t>
      </w:r>
      <w:r xml:space="preserve">
        <w:t> </w:t>
      </w:r>
      <w:r>
        <w:t xml:space="preserve">-</w:t>
      </w:r>
      <w:r xml:space="preserve">
        <w:t> </w:t>
      </w:r>
      <w:r>
        <w:t xml:space="preserve">Received from the House May</w:t>
      </w:r>
      <w:r xml:space="preserve">
        <w:t> </w:t>
      </w:r>
      <w:r>
        <w:t xml:space="preserve">10,</w:t>
      </w:r>
      <w:r xml:space="preserve">
        <w:t> </w:t>
      </w:r>
      <w:r>
        <w:t xml:space="preserve">2021; May</w:t>
      </w:r>
      <w:r xml:space="preserve">
        <w:t> </w:t>
      </w:r>
      <w:r>
        <w:t xml:space="preserve">10,</w:t>
      </w:r>
      <w:r xml:space="preserve">
        <w:t> </w:t>
      </w:r>
      <w:r>
        <w:t xml:space="preserve">2021, read first time and referred to Committee on Transportation; May</w:t>
      </w:r>
      <w:r xml:space="preserve">
        <w:t> </w:t>
      </w:r>
      <w:r>
        <w:t xml:space="preserve">17,</w:t>
      </w:r>
      <w:r xml:space="preserve">
        <w:t> </w:t>
      </w:r>
      <w:r>
        <w:t xml:space="preserve">2021, reported favorably by the following vote:</w:t>
      </w:r>
      <w:r>
        <w:t xml:space="preserve"> </w:t>
      </w:r>
      <w:r>
        <w:t xml:space="preserve"> </w:t>
      </w:r>
      <w:r>
        <w:t xml:space="preserve">Yeas</w:t>
      </w:r>
      <w:r xml:space="preserve">
        <w:t> </w:t>
      </w:r>
      <w:r>
        <w:t xml:space="preserve">8, Nays</w:t>
      </w:r>
      <w:r xml:space="preserve">
        <w:t> </w:t>
      </w:r>
      <w:r>
        <w:t xml:space="preserve">0; May</w:t>
      </w:r>
      <w:r xml:space="preserve">
        <w:t> </w:t>
      </w:r>
      <w:r>
        <w:t xml:space="preserve">17,</w:t>
      </w:r>
      <w:r xml:space="preserve">
        <w:t> </w:t>
      </w:r>
      <w:r>
        <w:t xml:space="preserve">2021, sent to printer.)</w:t>
      </w:r>
    </w:p>
    <w:p w:rsidR="003F3435" w:rsidRDefault="003F3435"/>
    <w:p w:rsidR="003F3435" w:rsidRDefault="0032493E">
      <w:pPr>
        <w:spacing w:line="480" w:lineRule="auto"/>
        <w:jc w:val="center"/>
      </w:pPr>
      <w:r>
        <w:t xml:space="preserve">COMMITTEE VOTE</w:t>
      </w:r>
    </w:p>
    <w:p w:rsidR="003F3435" w:rsidRDefault="003F3435"/>
    <w:p w:rsidR="003F3435" w:rsidRDefault="0032493E">
      <w:pPr>
        <w:spacing w:line="480" w:lineRule="auto"/>
        <w:ind w:firstLine="720"/>
        <w:ind w:end="1440"/>
        <w:jc w:val="both"/>
      </w:pP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w:rPr>
          <w:u w:val="single"/>
        </w:rPr>
        <w:t xml:space="preserve">Yea</w:t>
      </w:r>
      <w:r xml:space="preserve">
        <w:tab wTab="150" tlc="none" cTlc="0"/>
      </w:r>
      <w:r>
        <w:rPr>
          <w:u w:val="single"/>
        </w:rPr>
        <w:t xml:space="preserve">Nay</w:t>
      </w:r>
      <w:r xml:space="preserve">
        <w:tab wTab="150" tlc="none" cTlc="0"/>
      </w:r>
      <w:r>
        <w:rPr>
          <w:u w:val="single"/>
        </w:rPr>
        <w:t xml:space="preserve">Absent</w:t>
      </w:r>
      <w:r xml:space="preserve">
        <w:rPr>
          <w:u w:val="single"/>
        </w:rPr>
        <w:t> </w:t>
      </w:r>
      <w:r xml:space="preserve">
        <w:tab wTab="150" tlc="none" cTlc="0"/>
      </w:r>
      <w:r>
        <w:rPr>
          <w:u w:val="single"/>
        </w:rPr>
        <w:t xml:space="preserve">PNV</w:t>
      </w:r>
    </w:p>
    <w:p w:rsidR="003F3435" w:rsidRDefault="0032493E">
      <w:pPr>
        <w:spacing w:line="480" w:lineRule="auto"/>
        <w:ind w:firstLine="720"/>
        <w:ind w:end="1440"/>
        <w:jc w:val="both"/>
      </w:pPr>
      <w:r>
        <w:rPr>
          <w:u w:val="single"/>
        </w:rPr>
        <w:t xml:space="preserve">Nichols</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Seliger</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w:rPr>
          <w:u w:val="single"/>
        </w:rPr>
        <w:t xml:space="preserve">X</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Alvarado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Blanco</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Hancock</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Hinojosa</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Kolkhorst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Perry</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2493E">
      <w:pPr>
        <w:spacing w:line="480" w:lineRule="auto"/>
        <w:ind w:firstLine="720"/>
        <w:ind w:end="1440"/>
        <w:jc w:val="both"/>
      </w:pPr>
      <w:r>
        <w:rPr>
          <w:u w:val="single"/>
        </w:rPr>
        <w:t xml:space="preserve">West</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w:rPr>
          <w:u w:val="single"/>
        </w:rPr>
        <w:t xml:space="preserve">X</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rPr>
          <w:u w:val="single"/>
        </w:rPr>
        <w:t> </w:t>
      </w:r>
      <w:r xml:space="preserve">
        <w:tab wTab="150" tlc="none" cTlc="0"/>
      </w:r>
      <w:r xml:space="preserve">
        <w:rPr>
          <w:u w:val="single"/>
        </w:rPr>
        <w:t> </w:t>
      </w:r>
      <w:r xml:space="preserve">
        <w:rPr>
          <w:u w:val="single"/>
        </w:rPr>
        <w:t> </w:t>
      </w:r>
      <w:r xml:space="preserve">
        <w:rPr>
          <w:u w:val="single"/>
        </w:rPr>
        <w:t> </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F3435"/>
    <w:p w:rsidR="003F3435" w:rsidRDefault="0032493E">
      <w:pPr>
        <w:spacing w:line="480" w:lineRule="auto"/>
        <w:jc w:val="both"/>
      </w:pPr>
      <w:r>
        <w:t xml:space="preserve">relating to the designation of a portion of State Highway Loop 121 in Bell County as the Deputy Sheriff John Rhoden Memorial Highway.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B, Chapter 225, Transportation Code, is amended by adding Section 225.190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225.190.</w:t>
      </w:r>
      <w:r>
        <w:rPr>
          <w:u w:val="single"/>
        </w:rPr>
        <w:t xml:space="preserve"> </w:t>
      </w:r>
      <w:r>
        <w:rPr>
          <w:u w:val="single"/>
        </w:rPr>
        <w:t xml:space="preserve"> </w:t>
      </w:r>
      <w:r>
        <w:rPr>
          <w:u w:val="single"/>
        </w:rPr>
        <w:t xml:space="preserve">DEPUTY SHERIFF JOHN RHODEN MEMORIAL HIGHWAY.  (a)  The portion of State Highway Loop 121 in Bell County between its intersection with Interstate Highway 35 and its intersection with Interstate Highway 14 is designated as the Deputy Sheriff John Rhoden Memorial Highway.  The designation is in addition to any other designation.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Subject to Section 225.021(c),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design and construct markers indicating the designation as the Deputy Sheriff John Rhoden Memorial Highway and any other appropriate information;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erect a marker at each end of the highway and at appropriate intermediate sites along the highway.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September 1, 2021.</w:t>
      </w:r>
    </w:p>
    <w:p w:rsidR="003F3435" w:rsidRDefault="0032493E">
      <w:pPr>
        <w:spacing w:line="480" w:lineRule="auto"/>
        <w:jc w:val="center"/>
      </w:pPr>
      <w:r>
        <w:t xml:space="preserve">* * * *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532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