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87R2130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into the Texas Crime Information Center of information concerning the release on bond of persons charged with committing a violent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17.50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17.50.</w:t>
      </w:r>
      <w:r>
        <w:rPr>
          <w:u w:val="single"/>
        </w:rPr>
        <w:t xml:space="preserve"> </w:t>
      </w:r>
      <w:r>
        <w:rPr>
          <w:u w:val="single"/>
        </w:rPr>
        <w:t xml:space="preserve"> </w:t>
      </w:r>
      <w:r>
        <w:rPr>
          <w:u w:val="single"/>
        </w:rPr>
        <w:t xml:space="preserve">ENTRY OF BOND STATUS INTO TEXAS CRIME INFORMATION CENTER; DUTIES OF MAGISTRATES, SHERIFFS, AND DEPARTMENT OF PUBLIC SAFETY.  (a)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"Database" means the statewide law enforcement information system maintained by the Department of Public Safety, also known as the Texas Crime Information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"Violent offense"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any of the following sections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19.02 (murder);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Section 21.02 (continuous sexual abuse of young child or children); or</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Section 20A.03 (continuous trafficking of persons);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offense involving family violence as defined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but not later than the next business day after the date a magistrate releases on bond a person charged with committing a violent offense, the magistrate shall notify the sheriff of the release and provide to the sheriff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sex, race, date of birth, personal descriptors, and residential address, including county, of the person released;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released, including the person's social security number or driver's license number;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any condition of bond imposed, the name and county of residence of any named person the condition of bond is intended to protect, and the name and county of residence of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the information described by Subsection (b), the sheriff shall enter the information into the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but not later than the next business day after the date a magistrate revokes the bond of a person charged with committing a violent offense, modifies the terms of or removes a condition of bond imposed on the person, or disposes of the underlying criminal charges in the person's case, the magistrate shall notify the sheriff and provide the sheriff with information that is sufficient to enable the sheriff to update the database accordingly.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Public Safety shall modify the database to enable the database to accept and maintain detailed information regarding the release on bond of a person charged with committing a violent offense and any associated conditions of bond, including information described by Subsections (b) and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Department of Public Safety of the State of Texas shall modify the statewide law enforcement information system maintained by the department, also known as the Texas Crime Information Center, to enable the database to accept and maintain detailed information regarding the release on bond of a person charged with committing a violent offense and any associated conditions of bond, as required by Article 17.50(e),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2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