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87R2114 JTS-D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Patterson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537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posting of required notice by a county on the county's Internet website.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2051, Government Code, is amended by adding Section 2051.0465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2051.0465.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ONLINE PUBLICATION BY COUNTY.  (a) Notwithstanding any other law and except as provided by Section 2051.042(b), a county governmental entity or representative may satisfy a requirement to provide notice by publication in a newspaper by posting the notice on the county's Internet website.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electronic display of information posted under this section must, to the extent possible, meet the time, content, appearance, and other requirements provided by law for the posting of the notice.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537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