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538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removal of restrictions on funding and payment of costs for certain full-time online educational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26.0031(c-1), Education Code, is amended to read as follows:</w:t>
      </w:r>
    </w:p>
    <w:p w:rsidR="003F3435" w:rsidRDefault="0032493E">
      <w:pPr>
        <w:spacing w:line="480" w:lineRule="auto"/>
        <w:ind w:firstLine="720"/>
        <w:jc w:val="both"/>
      </w:pPr>
      <w:r>
        <w:t xml:space="preserve">(c-1)</w:t>
      </w:r>
      <w:r xml:space="preserve">
        <w:t> </w:t>
      </w:r>
      <w:r xml:space="preserve">
        <w:t> </w:t>
      </w:r>
      <w:r>
        <w:t xml:space="preserve">A school district or open-enrollment charter school may decline to pay the cost for a student of more than three yearlong electronic courses, or the equivalent, during any school year.  This subsection does not:</w:t>
      </w:r>
    </w:p>
    <w:p w:rsidR="003F3435" w:rsidRDefault="0032493E">
      <w:pPr>
        <w:spacing w:line="480" w:lineRule="auto"/>
        <w:ind w:firstLine="1440"/>
        <w:jc w:val="both"/>
      </w:pPr>
      <w:r>
        <w:t xml:space="preserve">(1)</w:t>
      </w:r>
      <w:r xml:space="preserve">
        <w:t> </w:t>
      </w:r>
      <w:r xml:space="preserve">
        <w:t> </w:t>
      </w:r>
      <w:r>
        <w:t xml:space="preserve">limit the ability of the student to enroll in additional electronic courses at the student's cost; or</w:t>
      </w:r>
    </w:p>
    <w:p w:rsidR="003F3435" w:rsidRDefault="0032493E">
      <w:pPr>
        <w:spacing w:line="480" w:lineRule="auto"/>
        <w:ind w:firstLine="1440"/>
        <w:jc w:val="both"/>
      </w:pPr>
      <w:r>
        <w:t xml:space="preserve">(2)</w:t>
      </w:r>
      <w:r xml:space="preserve">
        <w:t> </w:t>
      </w:r>
      <w:r xml:space="preserve">
        <w:t> </w:t>
      </w:r>
      <w:r>
        <w:t xml:space="preserve">apply to a student enrolled in a full-time online program [</w:t>
      </w:r>
      <w:r>
        <w:rPr>
          <w:strike/>
        </w:rPr>
        <w:t xml:space="preserve">that was operating on January 1, 2013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30A.153(a-1),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a school district or open-enrollment charter school is limited to the funding described by that subsection for a student's enrollment in not more than three electronic courses during any school year, unless the student is enrolled in a full-time online program [</w:t>
      </w:r>
      <w:r>
        <w:rPr>
          <w:strike/>
        </w:rPr>
        <w:t xml:space="preserve">that was operating on January 1, 2013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electronic courses taken through the state virtual school network beginning with the 2021-2022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