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87R16608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Dutton, Huberty,</w:t>
      </w:r>
      <w:r xml:space="preserve">
        <w:tab wTab="150" tlc="none" cTlc="0"/>
      </w:r>
      <w:r>
        <w:t xml:space="preserve">H.B.</w:t>
      </w:r>
      <w:r xml:space="preserve">
        <w:t> </w:t>
      </w:r>
      <w:r>
        <w:t xml:space="preserve">No.</w:t>
      </w:r>
      <w:r xml:space="preserve">
        <w:t> </w:t>
      </w:r>
      <w:r>
        <w:t xml:space="preserve">547</w:t>
      </w:r>
    </w:p>
    <w:p w:rsidR="003F3435" w:rsidRDefault="0032493E">
      <w:pPr>
        <w:jc w:val="both"/>
      </w:pPr>
      <w:r xml:space="preserve">
        <w:t> </w:t>
      </w:r>
      <w:r xml:space="preserve">
        <w:t> </w:t>
      </w:r>
      <w:r xml:space="preserve">
        <w:t> </w:t>
      </w:r>
      <w:r xml:space="preserve">
        <w:t> </w:t>
      </w:r>
      <w:r xml:space="preserve">
        <w:t> </w:t>
      </w:r>
      <w:r>
        <w:t xml:space="preserve">González of El Paso, Burrows,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547: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equal opportunity for access by home-schooled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HOME-SCHOOLED STUDENTS TO PARTICIPATE IN UNIVERSITY INTERSCHOLASTIC LEAGUE ACTIVITIES.  (a)  In this section, "home-schooled student"</w:t>
      </w:r>
      <w:r>
        <w:rPr>
          <w:u w:val="single"/>
        </w:rPr>
        <w:t xml:space="preserve"> </w:t>
      </w:r>
      <w:r>
        <w:rPr>
          <w:u w:val="single"/>
        </w:rPr>
        <w:t xml:space="preserve">has the meaning assigned by Section 29.916.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public school that participates in an activity sponsored by the University Interscholastic League may provide a home-schooled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home-schooled student who seeks to participate or participates in a league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or person standing in parental relation to a home-schooled student is responsible for oversight of academic standards relating to the student's participation in a league activity.  As a condition of eligibility to participate in a league activity during the first six weeks of a school year, a home-schooled student must demonstrate grade-level academic proficiency on any nationally recognized, norm-referenced assessment instrument, such as the Iowa Test of Basic Skills, Stanford Achievement Test, California Achievement Test, or Comprehensive Test of Basic Skills.  A home-schooled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home-schooled student's demonstration of academic proficiency under Subsection (d)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first six weeks of a school year, the parent or person standing in parental relation to a home-schooled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home-schooled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University Interscholastic League may not prohibit a home-schooled student from participating in league activities in the manner authorized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With respect to a home-schooled student's education program, nothing in this section shall be construed to permit an agency of this state, a public school district, or any other governmental body to exercise control, regulatory authority, or supervision over a home-schooled student or a parent or person standing in parental relation to a home-schooled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Subject only to eligibility requirements under this section for a home-schooled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home-schooled student may not be required to be changed in order for the home-schooled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home-schooled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