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547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Education;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 3;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547</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equal opportunity for access by non-enrolled students to University Interscholastic League sponsored activities;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EQUAL OPPORTUNITY FOR CERTAIN STUDENTS TO PARTICIPATE IN UNIVERSITY INTERSCHOLASTIC LEAGUE ACTIVITIES.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"League"</w:t>
      </w:r>
      <w:r>
        <w:rPr>
          <w:u w:val="single"/>
        </w:rPr>
        <w:t xml:space="preserve"> </w:t>
      </w:r>
      <w:r>
        <w:rPr>
          <w:u w:val="single"/>
        </w:rPr>
        <w:t xml:space="preserve">means the University Interscholastic League.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"Non-enrolled student" means a student who receives instruction as described by Section 29.916(a)(1) from a nonpublic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may be construed to affect the holding in </w:t>
      </w:r>
      <w:r>
        <w:rPr>
          <w:u w:val="single"/>
          <w:i/>
        </w:rPr>
        <w:t>Texas Educ. Agency v. Leeper</w:t>
      </w:r>
      <w:r>
        <w:rPr>
          <w:u w:val="single"/>
        </w:rPr>
        <w:t xml:space="preserve">, 893 S.W.2d 432 (Tex. 1994), classifying home schools as private schools.  The legislature finds that a home school is a private school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(i), a public school that participates in an activity sponsored by the league may provide a non-enrolled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non-enrolled student who seeks to participate or participates in a league activity on behalf of a school is subject to the following relevant policies that apply to students enrolled in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registration for league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age eligibility;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insurance;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physical condition;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qualifications;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responsibilities;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event schedules;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standards of behavior;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performance.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non-enrolled student may only participate in a league activity for the school in the school district that the student would be eligible to attend based on the student's residential address.  A non-enrolled student who seeks to participate in a league activity on behalf of a school shall be required to establish minimum proof of residency acceptable to the district in the same manner as an applicant to attend a school in the district under Section 25.001.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parent or person standing in parental relation to a non-enrolled student is responsible for oversight of academic standards relating to the student's participation in a league activity.  As a condition of eligibility to participate in a league activity during the first six weeks of a school year, a non-enrolled student must demonstrate grade-level academic proficiency on any nationally recognized, norm-referenced assessment instrument, such as the Iowa Test of Basic Skills, Stanford Achievement Test, California Achievement Test, or Comprehensive Test of Basic Skills.  A non-enrolled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non-enrolled student's demonstration of academic proficiency under Subsection (f) is sufficient for purposes of that subsection for the school year in which the student achieves the required score and the subsequent school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After the first six weeks of a school year, the parent or person standing in parental relation to a non-enrolled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non-enrolled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league may not prohibit a non-enrolled student from participating in league activities in the manner authorized by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With respect to a non-enrolled student's education program, nothing in this section shall be construed to permit an agency of this state, a public school district, or any other governmental body to exercise control, regulatory authority, or supervision over a non-enrolled student or a parent or person standing in parental relation to a non-enrolled student beyond the control, regulatory authority, or supervision required to participate in a league activity.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Subject only to eligibility requirements under this section for a non-enrolled student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non-enrolled student may not be required to be changed in order for the non-enrolled student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non-enrolled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law, a non-enrolled student who participates in a league activity under this section is subject to the immunization requirements and exceptions of Section 38.001 in the same manner as a public school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