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549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Health &amp; Human Services; May</w:t>
      </w:r>
      <w:r xml:space="preserve">
        <w:t> </w:t>
      </w:r>
      <w:r>
        <w:t xml:space="preserve">17,</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549</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exemptions from liability for certain professionals for the disclosure of certain mental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611.002, Health and Safety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Confidential communications or records may not be disclosed except as provided by Section 611.004</w:t>
      </w:r>
      <w:r>
        <w:rPr>
          <w:u w:val="single"/>
        </w:rPr>
        <w:t xml:space="preserve">, 611.0041,</w:t>
      </w:r>
      <w:r>
        <w:t xml:space="preserve"> or 611.0045.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 exception to the privilege of confidentiality under Section 611.004 may be construed to create an independent duty or requirement to disclose the confidential information to which the exception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611.004,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w:t>
      </w:r>
      <w:r>
        <w:rPr>
          <w:u w:val="single"/>
        </w:rPr>
        <w:t xml:space="preserve">, mental health,</w:t>
      </w:r>
      <w:r>
        <w:t xml:space="preserve"> or law enforcement personnel if the professional 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 civil, criminal, or administrative cause of action exists against a person described by Section 611.001(2)(A) or (B) for the disclosure of confidential information in accordance with Subsection (a)(2). </w:t>
      </w:r>
      <w:r>
        <w:rPr>
          <w:u w:val="single"/>
        </w:rPr>
        <w:t xml:space="preserve"> </w:t>
      </w:r>
      <w:r>
        <w:rPr>
          <w:u w:val="single"/>
        </w:rPr>
        <w:t xml:space="preserve">A cause of action brought against the person for the disclosure of the confidential information must be dismissed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159.002,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 exception to the privilege of confidentiality under Section 159.003 or 159.004 may be construed to create an independent duty or requirement to disclose the confidential information to which the exception applies.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159.004, Occupations Code, is amended to read as follows:</w:t>
      </w:r>
    </w:p>
    <w:p w:rsidR="003F3435" w:rsidRDefault="0032493E">
      <w:pPr>
        <w:spacing w:line="480" w:lineRule="auto"/>
        <w:ind w:firstLine="720"/>
        <w:jc w:val="both"/>
      </w:pPr>
      <w:r>
        <w:t xml:space="preserve">Sec.</w:t>
      </w:r>
      <w:r xml:space="preserve">
        <w:t> </w:t>
      </w:r>
      <w:r>
        <w:t xml:space="preserve">159.004.</w:t>
      </w:r>
      <w:r xml:space="preserve">
        <w:t> </w:t>
      </w:r>
      <w:r xml:space="preserve">
        <w:t> </w:t>
      </w:r>
      <w:r>
        <w:t xml:space="preserve">EXCEPTIONS TO CONFIDENTIALITY IN OTHER SITUATIONS.  </w:t>
      </w:r>
      <w:r>
        <w:rPr>
          <w:u w:val="single"/>
        </w:rPr>
        <w:t xml:space="preserve">(a)</w:t>
      </w:r>
      <w:r>
        <w:t xml:space="preserve">  An exception to the privilege of confidentiality in a situation other than a court or administrative proceeding, allowing disclosure of confidential information by a physician, exists only with respect to the following:</w:t>
      </w:r>
    </w:p>
    <w:p w:rsidR="003F3435" w:rsidRDefault="0032493E">
      <w:pPr>
        <w:spacing w:line="480" w:lineRule="auto"/>
        <w:ind w:firstLine="1440"/>
        <w:jc w:val="both"/>
      </w:pPr>
      <w:r>
        <w:t xml:space="preserve">(1)</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medical</w:t>
      </w:r>
      <w:r>
        <w:rPr>
          <w:u w:val="single"/>
        </w:rPr>
        <w:t xml:space="preserve">, mental health,</w:t>
      </w:r>
      <w:r>
        <w:t xml:space="preserve"> or law enforcement personnel, if the physician determines that there is a probability of:</w:t>
      </w:r>
    </w:p>
    <w:p w:rsidR="003F3435" w:rsidRDefault="0032493E">
      <w:pPr>
        <w:spacing w:line="480" w:lineRule="auto"/>
        <w:ind w:firstLine="2160"/>
        <w:jc w:val="both"/>
      </w:pPr>
      <w:r>
        <w:t xml:space="preserve">(A)</w:t>
      </w:r>
      <w:r xml:space="preserve">
        <w:t> </w:t>
      </w:r>
      <w:r xml:space="preserve">
        <w:t> </w:t>
      </w:r>
      <w:r>
        <w:t xml:space="preserve">imminent physical injury to the patient, the physician, or another person; or</w:t>
      </w:r>
    </w:p>
    <w:p w:rsidR="003F3435" w:rsidRDefault="0032493E">
      <w:pPr>
        <w:spacing w:line="480" w:lineRule="auto"/>
        <w:ind w:firstLine="2160"/>
        <w:jc w:val="both"/>
      </w:pPr>
      <w:r>
        <w:t xml:space="preserve">(B)</w:t>
      </w:r>
      <w:r xml:space="preserve">
        <w:t> </w:t>
      </w:r>
      <w:r xml:space="preserve">
        <w:t> </w:t>
      </w:r>
      <w:r>
        <w:t xml:space="preserve">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qualified personnel for research or for a management audit, financial audit, or program evaluation, but the personnel may not directly or indirectly identify a patient in any report of the research, audit, or evaluation or otherwise disclose identity in any manner;</w:t>
      </w:r>
    </w:p>
    <w:p w:rsidR="003F3435" w:rsidRDefault="0032493E">
      <w:pPr>
        <w:spacing w:line="480" w:lineRule="auto"/>
        <w:ind w:firstLine="1440"/>
        <w:jc w:val="both"/>
      </w:pPr>
      <w:r>
        <w:t xml:space="preserve">(4)</w:t>
      </w:r>
      <w:r xml:space="preserve">
        <w:t> </w:t>
      </w:r>
      <w:r xml:space="preserve">
        <w:t> </w:t>
      </w:r>
      <w:r>
        <w:t xml:space="preserve">those parts of the medical records reflecting specific services provided if necessary in the collection of fees for medical services provided by a physician, professional association, or other entity qualified to provide or arrange for medical services;</w:t>
      </w:r>
    </w:p>
    <w:p w:rsidR="003F3435" w:rsidRDefault="0032493E">
      <w:pPr>
        <w:spacing w:line="480" w:lineRule="auto"/>
        <w:ind w:firstLine="1440"/>
        <w:jc w:val="both"/>
      </w:pPr>
      <w:r>
        <w:t xml:space="preserve">(5)</w:t>
      </w:r>
      <w:r xml:space="preserve">
        <w:t> </w:t>
      </w:r>
      <w:r xml:space="preserve">
        <w:t> </w:t>
      </w:r>
      <w:r>
        <w:t xml:space="preserve">a person who has consent, as provided by Section 159.005;</w:t>
      </w:r>
    </w:p>
    <w:p w:rsidR="003F3435" w:rsidRDefault="0032493E">
      <w:pPr>
        <w:spacing w:line="480" w:lineRule="auto"/>
        <w:ind w:firstLine="1440"/>
        <w:jc w:val="both"/>
      </w:pPr>
      <w:r>
        <w:t xml:space="preserve">(6)</w:t>
      </w:r>
      <w:r xml:space="preserve">
        <w:t> </w:t>
      </w:r>
      <w:r xml:space="preserve">
        <w:t> </w:t>
      </w:r>
      <w:r>
        <w:t xml:space="preserve">a person, corporation, or governmental agency involved in the payment or collection of fees for medical services provided by a physician;</w:t>
      </w:r>
    </w:p>
    <w:p w:rsidR="003F3435" w:rsidRDefault="0032493E">
      <w:pPr>
        <w:spacing w:line="480" w:lineRule="auto"/>
        <w:ind w:firstLine="1440"/>
        <w:jc w:val="both"/>
      </w:pPr>
      <w:r>
        <w:t xml:space="preserve">(7)</w:t>
      </w:r>
      <w:r xml:space="preserve">
        <w:t> </w:t>
      </w:r>
      <w:r xml:space="preserve">
        <w:t> </w:t>
      </w:r>
      <w:r>
        <w:t xml:space="preserve">another physician or other personnel acting under the direction of the physician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an official legislative inquiry regarding state hospitals or state schools, if:</w:t>
      </w:r>
    </w:p>
    <w:p w:rsidR="003F3435" w:rsidRDefault="0032493E">
      <w:pPr>
        <w:spacing w:line="480" w:lineRule="auto"/>
        <w:ind w:firstLine="2160"/>
        <w:jc w:val="both"/>
      </w:pPr>
      <w:r>
        <w:t xml:space="preserve">(A)</w:t>
      </w:r>
      <w:r xml:space="preserve">
        <w:t> </w:t>
      </w:r>
      <w:r xml:space="preserve">
        <w:t> </w:t>
      </w:r>
      <w:r>
        <w:t xml:space="preserve">information or a record that identifies a patient or client is not released for any purpose unless proper consent to the release is given by the patient; and</w:t>
      </w:r>
    </w:p>
    <w:p w:rsidR="003F3435" w:rsidRDefault="0032493E">
      <w:pPr>
        <w:spacing w:line="480" w:lineRule="auto"/>
        <w:ind w:firstLine="2160"/>
        <w:jc w:val="both"/>
      </w:pPr>
      <w:r>
        <w:t xml:space="preserve">(B)</w:t>
      </w:r>
      <w:r xml:space="preserve">
        <w:t> </w:t>
      </w:r>
      <w:r xml:space="preserve">
        <w:t> </w:t>
      </w:r>
      <w:r>
        <w:t xml:space="preserve">only records created by the state hospital or school or its employees are included; or</w:t>
      </w:r>
    </w:p>
    <w:p w:rsidR="003F3435" w:rsidRDefault="0032493E">
      <w:pPr>
        <w:spacing w:line="480" w:lineRule="auto"/>
        <w:ind w:firstLine="1440"/>
        <w:jc w:val="both"/>
      </w:pPr>
      <w:r>
        <w:t xml:space="preserve">(9)</w:t>
      </w:r>
      <w:r xml:space="preserve">
        <w:t> </w:t>
      </w:r>
      <w:r xml:space="preserve">
        <w:t> </w:t>
      </w:r>
      <w:r>
        <w:t xml:space="preserve">health care personnel of a penal or other custodial institution in which the patient is detained if the disclosure is for the sole purpose of providing health care to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civil, criminal, or administrative cause of action exists against a physician for the disclosure of confidential information in accordance with Subsection (a)(2).  A cause of action brought against a physician for the disclosure of the confidential information must be dismissed with prejudice.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disclosure of confidential information made on or after the effective date of this Act. </w:t>
      </w:r>
      <w:r>
        <w:t xml:space="preserve"> </w:t>
      </w:r>
      <w:r>
        <w:t xml:space="preserve">A disclosure made before the effective date of this Act is governed by the law in effect on the date the disclosure was made,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