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87R2124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law enforcement policies regarding de-escalation and proportionate response.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2, Code of Criminal Procedure, is amended by adding Article 2.33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2.33.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LAW ENFORCEMENT POLICY ON DE-ESCALATION AND PROPORTIONATE RESPONSE.  (a)  In this article, "law enforcement agency" means an agency of the state or an agency of a political subdivision of the state authorized by law to employ peace officers.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law enforcement agency in this state shall adopt a detailed written policy regarding the use of force by peace officers employed by the agency.  The policy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emphasize the use of conflict de-escalation techniques;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 force to be used by officers only after attempts to de-escalate a situation have failed.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2022, each law enforcement agency in this state shall adopt the policy required by Article 2.33, Code of Criminal Procedure,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