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87R1785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567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and grounds for terminating the parent-child relationship, for taking possession of a child, and for certain hearings in a suit affecting the parent-child relationship involving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Evidence of one or more of the following does not constitute clear and convincing evidence sufficient for a court to</w:t>
      </w:r>
      <w:r>
        <w:t xml:space="preserve"> [</w:t>
      </w:r>
      <w:r>
        <w:rPr>
          <w:strike/>
        </w:rPr>
        <w:t xml:space="preserve">A court may not</w:t>
      </w:r>
      <w:r>
        <w:t xml:space="preserve">] make a finding under Subsection (b) and order termination of the parent-child relationship [</w:t>
      </w:r>
      <w:r>
        <w:rPr>
          <w:strike/>
        </w:rPr>
        <w:t xml:space="preserve">based on evidence that the parent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parent</w:t>
      </w:r>
      <w:r>
        <w:t xml:space="preserve"> </w:t>
      </w:r>
      <w:r>
        <w:t xml:space="preserve">homeschooled the child;</w:t>
      </w:r>
    </w:p>
    <w:p w:rsidR="003F3435" w:rsidRDefault="0032493E">
      <w:pPr>
        <w:spacing w:line="480" w:lineRule="auto"/>
        <w:ind w:firstLine="1440"/>
        <w:jc w:val="both"/>
      </w:pPr>
      <w:r>
        <w:t xml:space="preserve">(2)</w:t>
      </w:r>
      <w:r xml:space="preserve">
        <w:t> </w:t>
      </w:r>
      <w:r xml:space="preserve">
        <w:t> </w:t>
      </w:r>
      <w:r>
        <w:rPr>
          <w:u w:val="single"/>
        </w:rPr>
        <w:t xml:space="preserve">the parent</w:t>
      </w:r>
      <w:r>
        <w:t xml:space="preserve"> </w:t>
      </w:r>
      <w:r>
        <w:t xml:space="preserve">is economically disadvantaged;</w:t>
      </w:r>
    </w:p>
    <w:p w:rsidR="003F3435" w:rsidRDefault="0032493E">
      <w:pPr>
        <w:spacing w:line="480" w:lineRule="auto"/>
        <w:ind w:firstLine="1440"/>
        <w:jc w:val="both"/>
      </w:pPr>
      <w:r>
        <w:t xml:space="preserve">(3)</w:t>
      </w:r>
      <w:r xml:space="preserve">
        <w:t> </w:t>
      </w:r>
      <w:r xml:space="preserve">
        <w:t> </w:t>
      </w:r>
      <w:r>
        <w:rPr>
          <w:u w:val="single"/>
        </w:rPr>
        <w:t xml:space="preserve">the parent</w:t>
      </w:r>
      <w:r>
        <w:t xml:space="preserve">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rPr>
          <w:u w:val="single"/>
        </w:rPr>
        <w:t xml:space="preserve">the parent</w:t>
      </w:r>
      <w:r>
        <w:t xml:space="preserve">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parent</w:t>
      </w:r>
      <w:r>
        <w:t xml:space="preserve">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parent 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161.101, Family Code, is amended to read as follows:</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PETITION ALLEGATIONS</w:t>
      </w:r>
      <w:r>
        <w:rPr>
          <w:u w:val="single"/>
        </w:rPr>
        <w:t xml:space="preserve">; PETITION AND MOTION REQUIREMENTS</w:t>
      </w:r>
      <w:r>
        <w:t xml:space="preserve">.  </w:t>
      </w:r>
      <w:r>
        <w:rPr>
          <w:u w:val="single"/>
        </w:rPr>
        <w:t xml:space="preserve">(a)</w:t>
      </w:r>
      <w:r>
        <w:t xml:space="preserve"> A petition for the termination of the parent-child relationship is sufficient without the necessity of specifying the underlying facts if the petition alleges in the statutory language the ground for the termination and that termination is in the best interest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or motion filed by the Department of Family and Protective Services in a suit for termination of the parent-child relationship is subject to Chapter 10, Civil Practice and Remedies Code, and Rule 13, Texas Rules of Civil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 </w:t>
      </w:r>
      <w:r>
        <w:rPr>
          <w:u w:val="single"/>
        </w:rPr>
        <w:t xml:space="preserve">means an act or failure to act by a person responsible for a child's care, custody, or welfare evidencing the person's blatant disregard for the consequences of the act or failure to act that results in harm to the child or that creates an immediate danger to the child's physical health or safety and</w:t>
      </w:r>
      <w:r>
        <w:t xml:space="preserv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w:t>
      </w:r>
      <w:r>
        <w:rPr>
          <w:u w:val="single"/>
        </w:rPr>
        <w:t xml:space="preserve">an immediate danger</w:t>
      </w:r>
      <w:r>
        <w:t xml:space="preserve"> [</w:t>
      </w:r>
      <w:r>
        <w:rPr>
          <w:strike/>
        </w:rPr>
        <w:t xml:space="preserve">a substantial risk</w:t>
      </w:r>
      <w:r>
        <w:t xml:space="preserve">]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w:t>
      </w:r>
      <w:r>
        <w:rPr>
          <w:u w:val="single"/>
        </w:rPr>
        <w:t xml:space="preserve">an immediate danger</w:t>
      </w:r>
      <w:r>
        <w:t xml:space="preserve"> [</w:t>
      </w:r>
      <w:r>
        <w:rPr>
          <w:strike/>
        </w:rPr>
        <w:t xml:space="preserve">a substantial risk</w:t>
      </w:r>
      <w:r>
        <w:t xml:space="preserve">] of [</w:t>
      </w:r>
      <w:r>
        <w:rPr>
          <w:strike/>
        </w:rPr>
        <w:t xml:space="preserve">immediate</w:t>
      </w:r>
      <w:r>
        <w:t xml:space="preserv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w:t>
      </w:r>
      <w:r>
        <w:rPr>
          <w:u w:val="single"/>
        </w:rPr>
        <w:t xml:space="preserve">an immediate danger</w:t>
      </w:r>
      <w:r>
        <w:t xml:space="preserve"> [</w:t>
      </w:r>
      <w:r>
        <w:rPr>
          <w:strike/>
        </w:rPr>
        <w:t xml:space="preserve">a substantial risk</w:t>
      </w:r>
      <w:r>
        <w:t xml:space="preserve">]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w:t>
      </w:r>
      <w:r>
        <w:rPr>
          <w:u w:val="single"/>
        </w:rPr>
        <w:t xml:space="preserve">an immediate danger</w:t>
      </w:r>
      <w:r>
        <w:t xml:space="preserve"> [</w:t>
      </w:r>
      <w:r>
        <w:rPr>
          <w:strike/>
        </w:rPr>
        <w:t xml:space="preserve">a substantial risk</w:t>
      </w:r>
      <w:r>
        <w:t xml:space="preserve">]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allowing the child to engage in independent activities that are appropriate and typical for the child's level of maturity, physical condition, developmental abilities, or culture</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262.201, Family Code, is amended by amending Subsections (g), (h), (j), and (n) and adding Subsections (g-1), (j-1), and (q) to read as follows:</w:t>
      </w:r>
    </w:p>
    <w:p w:rsidR="003F3435" w:rsidRDefault="0032493E">
      <w:pPr>
        <w:spacing w:line="480" w:lineRule="auto"/>
        <w:ind w:firstLine="720"/>
        <w:jc w:val="both"/>
      </w:pPr>
      <w:r>
        <w:t xml:space="preserve">(g)</w:t>
      </w:r>
      <w:r xml:space="preserve">
        <w:t> </w:t>
      </w:r>
      <w:r xml:space="preserve">
        <w:t> </w:t>
      </w:r>
      <w:r>
        <w:t xml:space="preserve">In a suit filed under Section 262.101 or 262.105, at the conclusion of the full adversary hearing, the court shall order the return of the child to the parent, managing conservator, possessory conservator, guardian, caretaker, or custodian entitled to possession </w:t>
      </w:r>
      <w:r>
        <w:rPr>
          <w:u w:val="single"/>
        </w:rPr>
        <w:t xml:space="preserve">from whom the child is removed</w:t>
      </w:r>
      <w:r>
        <w:t xml:space="preserve"> </w:t>
      </w:r>
      <w:r>
        <w:t xml:space="preserve">unless the court finds sufficient evidence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was a danger to the physical health or safety of the child, including a danger that the child would be a victim of trafficking under Section 20A.02 or 20A.03, Penal Code, which was caused by an act or failure to act of the person entitled to possession and for the child to remain in the home is contrary to the welfare of the child;</w:t>
      </w:r>
    </w:p>
    <w:p w:rsidR="003F3435" w:rsidRDefault="0032493E">
      <w:pPr>
        <w:spacing w:line="480" w:lineRule="auto"/>
        <w:ind w:firstLine="1440"/>
        <w:jc w:val="both"/>
      </w:pPr>
      <w:r>
        <w:t xml:space="preserve">(2)</w:t>
      </w:r>
      <w:r xml:space="preserve">
        <w:t> </w:t>
      </w:r>
      <w:r xml:space="preserve">
        <w:t> </w:t>
      </w:r>
      <w:r>
        <w:t xml:space="preserve">the urgent need for protection required the immediate removal of the child and reasonable efforts, consistent with the circumstances and providing for the safety of the child, were made to eliminate or prevent the child's removal; and</w:t>
      </w:r>
    </w:p>
    <w:p w:rsidR="003F3435" w:rsidRDefault="0032493E">
      <w:pPr>
        <w:spacing w:line="480" w:lineRule="auto"/>
        <w:ind w:firstLine="1440"/>
        <w:jc w:val="both"/>
      </w:pPr>
      <w:r>
        <w:t xml:space="preserve">(3)</w:t>
      </w:r>
      <w:r xml:space="preserve">
        <w:t> </w:t>
      </w:r>
      <w:r xml:space="preserve">
        <w:t> </w:t>
      </w:r>
      <w:r>
        <w:t xml:space="preserve">reasonable efforts have been made to enable the child to return home, but there is a substantial risk of a continuing danger if the child is returned home.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 suit filed 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the court shall order possession of the child by that person unless the court finds, specific to each person entitled to possession,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cannot be located after the exercise of due diligence by the Department of Family and Protective Services, or the person is unable or unwilling to take possession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w:t>
      </w:r>
    </w:p>
    <w:p w:rsidR="003F3435" w:rsidRDefault="0032493E">
      <w:pPr>
        <w:spacing w:line="480" w:lineRule="auto"/>
        <w:ind w:firstLine="720"/>
        <w:jc w:val="both"/>
      </w:pPr>
      <w:r>
        <w:t xml:space="preserve">(h)</w:t>
      </w:r>
      <w:r xml:space="preserve">
        <w:t> </w:t>
      </w:r>
      <w:r xml:space="preserve">
        <w:t> </w:t>
      </w:r>
      <w:r>
        <w:t xml:space="preserve">In a suit filed under Section 262.101 or 262.105, if the court finds sufficient evidence to </w:t>
      </w:r>
      <w:r>
        <w:rPr>
          <w:u w:val="single"/>
        </w:rPr>
        <w:t xml:space="preserve">make the applicable finding under Subsection (g) or (g-1)</w:t>
      </w:r>
      <w:r>
        <w:t xml:space="preserve"> </w:t>
      </w:r>
      <w:r>
        <w:t xml:space="preserve">[</w:t>
      </w:r>
      <w:r>
        <w:rPr>
          <w:strike/>
        </w:rPr>
        <w:t xml:space="preserve">satisfy a person of ordinary prudence and caution that there is a continuing danger to the physical health or safety of the child and for the child to remain in the home is contrary to the welfare of the child</w:t>
      </w:r>
      <w:r>
        <w:t xml:space="preserve">], the court shall issue an appropriate temporary order under Chapter 105.</w:t>
      </w:r>
    </w:p>
    <w:p w:rsidR="003F3435" w:rsidRDefault="0032493E">
      <w:pPr>
        <w:spacing w:line="480" w:lineRule="auto"/>
        <w:ind w:firstLine="720"/>
        <w:jc w:val="both"/>
      </w:pPr>
      <w:r>
        <w:t xml:space="preserve">(j)</w:t>
      </w:r>
      <w:r xml:space="preserve">
        <w:t> </w:t>
      </w:r>
      <w:r xml:space="preserve">
        <w:t> </w:t>
      </w:r>
      <w:r>
        <w:t xml:space="preserve">In a suit filed under Section 262.113, at the conclusion of the full adversary hearing, the court shall issue an appropriate temporary order under Chapter 105 if the court finds</w:t>
      </w:r>
      <w:r>
        <w:rPr>
          <w:u w:val="single"/>
        </w:rPr>
        <w:t xml:space="preserve">, with respect to the parent, managing conservator, possessory conservator, guardian, caretaker, or custodian entitled to possession from whom the Department of Family and Protective Services is seeking removal,</w:t>
      </w:r>
      <w:r>
        <w:t xml:space="preserve"> [</w:t>
      </w:r>
      <w:r>
        <w:rPr>
          <w:strike/>
        </w:rPr>
        <w:t xml:space="preserve">sufficient evidence to satisfy a person of ordinary prudence and caution</w:t>
      </w:r>
      <w:r>
        <w:t xml:space="preserve">] that:</w:t>
      </w:r>
    </w:p>
    <w:p w:rsidR="003F3435" w:rsidRDefault="0032493E">
      <w:pPr>
        <w:spacing w:line="480" w:lineRule="auto"/>
        <w:ind w:firstLine="1440"/>
        <w:jc w:val="both"/>
      </w:pPr>
      <w:r>
        <w:t xml:space="preserve">(1)</w:t>
      </w:r>
      <w:r xml:space="preserve">
        <w:t> </w:t>
      </w:r>
      <w:r xml:space="preserve">
        <w:t> </w:t>
      </w:r>
      <w:r>
        <w:t xml:space="preserve">there is a continuing danger to the physical health or safety of the child caused by an act or failure to act of the person entitled to possession of the child and continuation of the child in the </w:t>
      </w:r>
      <w:r>
        <w:rPr>
          <w:u w:val="single"/>
        </w:rPr>
        <w:t xml:space="preserve">person's</w:t>
      </w:r>
      <w:r>
        <w:t xml:space="preserve"> home would be contrary to the child's welfare; and</w:t>
      </w:r>
    </w:p>
    <w:p w:rsidR="003F3435" w:rsidRDefault="0032493E">
      <w:pPr>
        <w:spacing w:line="480" w:lineRule="auto"/>
        <w:ind w:firstLine="1440"/>
        <w:jc w:val="both"/>
      </w:pPr>
      <w:r>
        <w:t xml:space="preserve">(2)</w:t>
      </w:r>
      <w:r xml:space="preserve">
        <w:t> </w:t>
      </w:r>
      <w:r xml:space="preserve">
        <w:t> </w:t>
      </w:r>
      <w:r>
        <w:t xml:space="preserve">reasonable efforts, consistent with the circumstances and providing for the safety of the child, were made to prevent or eliminate the need for the removal of the child.</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In a suit filed under Section 262.113, if the court orders the removal of the child under Subsection (j) and finds that another parent, managing conservator, possessory conservator, guardian, caretaker, or custodian entitled to possession did not cause the continuing danger to the physical health or safety of the child or was not the perpetrator of the neglect or abuse alleged in the suit, the court shall order possession of the child by that person unless the court finds, specific to each person entitled to possession,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cannot be located after the exercise of due diligence by the Department of Family and Protective Services or the person is unable or unwilling to take possession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w:t>
      </w:r>
    </w:p>
    <w:p w:rsidR="003F3435" w:rsidRDefault="0032493E">
      <w:pPr>
        <w:spacing w:line="480" w:lineRule="auto"/>
        <w:ind w:firstLine="720"/>
        <w:jc w:val="both"/>
      </w:pPr>
      <w:r>
        <w:t xml:space="preserve">(n)</w:t>
      </w:r>
      <w:r xml:space="preserve">
        <w:t> </w:t>
      </w:r>
      <w:r xml:space="preserve">
        <w:t> </w:t>
      </w:r>
      <w:r>
        <w:rPr>
          <w:u w:val="single"/>
        </w:rPr>
        <w:t xml:space="preserve">If the</w:t>
      </w:r>
      <w:r xml:space="preserve">
        <w:t> </w:t>
      </w:r>
      <w:r>
        <w:t xml:space="preserve">[</w:t>
      </w:r>
      <w:r>
        <w:rPr>
          <w:strike/>
        </w:rPr>
        <w:t xml:space="preserve">The</w:t>
      </w:r>
      <w:r>
        <w:t xml:space="preserve">] court </w:t>
      </w:r>
      <w:r>
        <w:rPr>
          <w:u w:val="single"/>
        </w:rPr>
        <w:t xml:space="preserve">does not order possession of</w:t>
      </w:r>
      <w:r>
        <w:t xml:space="preserve"> [</w:t>
      </w:r>
      <w:r>
        <w:rPr>
          <w:strike/>
        </w:rPr>
        <w:t xml:space="preserve">shall place</w:t>
      </w:r>
      <w:r>
        <w:t xml:space="preserve">] a child </w:t>
      </w:r>
      <w:r>
        <w:rPr>
          <w:u w:val="single"/>
        </w:rPr>
        <w:t xml:space="preserve">by a</w:t>
      </w:r>
      <w:r>
        <w:t xml:space="preserve"> [</w:t>
      </w:r>
      <w:r>
        <w:rPr>
          <w:strike/>
        </w:rPr>
        <w:t xml:space="preserve">removed from the child's custodial parent with the child's noncustodial</w:t>
      </w:r>
      <w:r>
        <w:t xml:space="preserve">] parent</w:t>
      </w:r>
      <w:r>
        <w:rPr>
          <w:u w:val="single"/>
        </w:rPr>
        <w:t xml:space="preserve">, managing conservator, possessory conservator, guardian, caretaker, or custodian entitled to possession under Subsection (g), (g-1), (j), or (j-1), the court shall place the child</w:t>
      </w:r>
      <w:r>
        <w:t xml:space="preserve"> [</w:t>
      </w:r>
      <w:r>
        <w:rPr>
          <w:strike/>
        </w:rPr>
        <w:t xml:space="preserve">or</w:t>
      </w:r>
      <w:r>
        <w:t xml:space="preserve">] with a relative of the child [</w:t>
      </w:r>
      <w:r>
        <w:rPr>
          <w:strike/>
        </w:rPr>
        <w:t xml:space="preserve">if placement with the noncustodial parent is inappropriate,</w:t>
      </w:r>
      <w:r>
        <w:t xml:space="preserve">] unless </w:t>
      </w:r>
      <w:r>
        <w:rPr>
          <w:u w:val="single"/>
        </w:rPr>
        <w:t xml:space="preserve">the court finds that the</w:t>
      </w:r>
      <w:r>
        <w:t xml:space="preserve"> placement with [</w:t>
      </w:r>
      <w:r>
        <w:rPr>
          <w:strike/>
        </w:rPr>
        <w:t xml:space="preserve">the noncustodial parent or</w:t>
      </w:r>
      <w:r>
        <w:t xml:space="preserve">] a relative is not in the best interest of the child.</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On receipt of a written request for possession of the child from a parent, managing conservator, possessory conservator, guardian, caretaker, or custodian entitled to possession of the child who was not located before the adversary hearing, the Department of Family and Protective Services shall notify the court and request a hearing to determine whether the parent, managing conservator, possessory conservator, guardian, caretaker, or custodian is entitled to possession of the child under Subsection (g-1) or (j-1).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263.002, Family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At each permanency hearing before the final order, the court shall review the placement of each child in the temporary managing conservatorship of the department who has not been returned to the child's home.  </w:t>
      </w:r>
      <w:r>
        <w:rPr>
          <w:u w:val="single"/>
        </w:rPr>
        <w:t xml:space="preserve">At the end of the hearing, the court shall order the department to return the child to the child's parent or parents unless the court finds, with respect to each parent,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continuing danger to the physical health or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returning the child to the child's parent or parents</w:t>
      </w:r>
      <w:r>
        <w:t xml:space="preserve"> [</w:t>
      </w:r>
      <w:r>
        <w:rPr>
          <w:strike/>
        </w:rPr>
        <w:t xml:space="preserve">The court shall make a finding on whether returning the child to the child's home is safe and appropriate, whether the return is in the best interest of the child, and whether it</w:t>
      </w:r>
      <w:r>
        <w:t xml:space="preserve">] is contrary to the welfare of the child [</w:t>
      </w:r>
      <w:r>
        <w:rPr>
          <w:strike/>
        </w:rPr>
        <w:t xml:space="preserve">for the child to return home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court from rendering an order under Section 263.403.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E, Chapter 263, Family Code, is amended by adding Section 263.4011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263.4011.</w:t>
      </w:r>
      <w:r>
        <w:rPr>
          <w:u w:val="single"/>
        </w:rPr>
        <w:t xml:space="preserve"> </w:t>
      </w:r>
      <w:r>
        <w:rPr>
          <w:u w:val="single"/>
        </w:rPr>
        <w:t xml:space="preserve"> </w:t>
      </w:r>
      <w:r>
        <w:rPr>
          <w:u w:val="single"/>
        </w:rPr>
        <w:t xml:space="preserve">RENDERING FINAL ORDER; EXTENSION.  (a)  On timely commencement of the trial on the merits under Section 263.401, the court shall render a final order not later than the 90th day after the date the trial commences.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90-day period for rendering a final order under Subsection (a) is not tolled for any recess during the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extraordinary circumstances necessitate extending the 90-day period under Subsection (a), the court may grant one extension of that date for not longer than 30 days.  The court shall render a written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the grounds on which the extension is granted;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a final order to be rendered not later than the 30th day after the date the extension is granted.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may file a mandamus proceeding if the court fails to render a final order within the time required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263.403(a-1), Family Code, is amended to read as follows:</w:t>
      </w:r>
    </w:p>
    <w:p w:rsidR="003F3435" w:rsidRDefault="0032493E">
      <w:pPr>
        <w:spacing w:line="480" w:lineRule="auto"/>
        <w:ind w:firstLine="720"/>
        <w:jc w:val="both"/>
      </w:pPr>
      <w:r>
        <w:t xml:space="preserve">(a-1)</w:t>
      </w:r>
      <w:r xml:space="preserve">
        <w:t> </w:t>
      </w:r>
      <w:r xml:space="preserve">
        <w:t> </w:t>
      </w:r>
      <w:r>
        <w:t xml:space="preserve">Unless the court has granted an extension under Section 263.401(b), the department or the parent may request the court to retain jurisdiction for an additional six months as necessary for a parent to complete the remaining requirements </w:t>
      </w:r>
      <w:r>
        <w:rPr>
          <w:u w:val="single"/>
        </w:rPr>
        <w:t xml:space="preserve">under</w:t>
      </w:r>
      <w:r>
        <w:t xml:space="preserve"> [</w:t>
      </w:r>
      <w:r>
        <w:rPr>
          <w:strike/>
        </w:rPr>
        <w:t xml:space="preserve">in</w:t>
      </w:r>
      <w:r>
        <w:t xml:space="preserve">] a service plan [</w:t>
      </w:r>
      <w:r>
        <w:rPr>
          <w:strike/>
        </w:rPr>
        <w:t xml:space="preserve">and specified</w:t>
      </w:r>
      <w:r>
        <w:t xml:space="preserve">] in </w:t>
      </w:r>
      <w:r>
        <w:rPr>
          <w:u w:val="single"/>
        </w:rPr>
        <w:t xml:space="preserve">a transition monitored return under Subsection (a)(2)(B)</w:t>
      </w:r>
      <w:r>
        <w:t xml:space="preserve"> [</w:t>
      </w:r>
      <w:r>
        <w:rPr>
          <w:strike/>
        </w:rPr>
        <w:t xml:space="preserve">the temporary order that are mandatory for the child's return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264.203, Family Code, is amended to read as follows:</w:t>
      </w:r>
    </w:p>
    <w:p w:rsidR="003F3435" w:rsidRDefault="0032493E">
      <w:pPr>
        <w:spacing w:line="480" w:lineRule="auto"/>
        <w:ind w:firstLine="720"/>
        <w:jc w:val="both"/>
      </w:pPr>
      <w:r>
        <w:t xml:space="preserve">Sec.</w:t>
      </w:r>
      <w:r xml:space="preserve">
        <w:t> </w:t>
      </w:r>
      <w:r>
        <w:t xml:space="preserve">264.203.</w:t>
      </w:r>
      <w:r xml:space="preserve">
        <w:t> </w:t>
      </w:r>
      <w:r xml:space="preserve">
        <w:t> </w:t>
      </w:r>
      <w:r>
        <w:t xml:space="preserve">REQUIRED PARTICIPATION.  (a)  </w:t>
      </w:r>
      <w:r>
        <w:rPr>
          <w:u w:val="single"/>
        </w:rPr>
        <w:t xml:space="preserve">The department may file a suit requesting</w:t>
      </w:r>
      <w:r>
        <w:t xml:space="preserve"> [</w:t>
      </w:r>
      <w:r>
        <w:rPr>
          <w:strike/>
        </w:rPr>
        <w:t xml:space="preserve">Except as provided by Subsection (d),</w:t>
      </w:r>
      <w:r>
        <w:t xml:space="preserve">] the court </w:t>
      </w:r>
      <w:r>
        <w:rPr>
          <w:u w:val="single"/>
        </w:rPr>
        <w:t xml:space="preserve">to render a temporary</w:t>
      </w:r>
      <w:r>
        <w:t xml:space="preserve"> [</w:t>
      </w:r>
      <w:r>
        <w:rPr>
          <w:strike/>
        </w:rPr>
        <w:t xml:space="preserve">on request of the department may</w:t>
      </w:r>
      <w:r>
        <w:t xml:space="preserve">] order </w:t>
      </w:r>
      <w:r>
        <w:rPr>
          <w:u w:val="single"/>
        </w:rPr>
        <w:t xml:space="preserve">requiring</w:t>
      </w:r>
      <w:r>
        <w:t xml:space="preserve"> the parent, managing conservator, guardian, or other member of the [</w:t>
      </w:r>
      <w:r>
        <w:rPr>
          <w:strike/>
        </w:rPr>
        <w:t xml:space="preserve">subject</w:t>
      </w:r>
      <w:r>
        <w:t xml:space="preserve">] child's household to:</w:t>
      </w:r>
    </w:p>
    <w:p w:rsidR="003F3435" w:rsidRDefault="0032493E">
      <w:pPr>
        <w:spacing w:line="480" w:lineRule="auto"/>
        <w:ind w:firstLine="1440"/>
        <w:jc w:val="both"/>
      </w:pPr>
      <w:r>
        <w:t xml:space="preserve">(1)</w:t>
      </w:r>
      <w:r xml:space="preserve">
        <w:t> </w:t>
      </w:r>
      <w:r xml:space="preserve">
        <w:t> </w:t>
      </w:r>
      <w:r>
        <w:t xml:space="preserve">participate in the services </w:t>
      </w:r>
      <w:r>
        <w:rPr>
          <w:u w:val="single"/>
        </w:rPr>
        <w:t xml:space="preserve">for which</w:t>
      </w:r>
      <w:r>
        <w:t xml:space="preserve"> the department </w:t>
      </w:r>
      <w:r>
        <w:rPr>
          <w:u w:val="single"/>
        </w:rPr>
        <w:t xml:space="preserve">makes a referral or services the department</w:t>
      </w:r>
      <w:r>
        <w:t xml:space="preserve"> provides or purchases for:</w:t>
      </w:r>
    </w:p>
    <w:p w:rsidR="003F3435" w:rsidRDefault="0032493E">
      <w:pPr>
        <w:spacing w:line="480" w:lineRule="auto"/>
        <w:ind w:firstLine="2160"/>
        <w:jc w:val="both"/>
      </w:pPr>
      <w:r>
        <w:t xml:space="preserve">(A)</w:t>
      </w:r>
      <w:r xml:space="preserve">
        <w:t> </w:t>
      </w:r>
      <w:r xml:space="preserve">
        <w:t> </w:t>
      </w:r>
      <w:r>
        <w:t xml:space="preserve">alleviating the effects of the abuse or neglect that has occurred;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reducing </w:t>
      </w:r>
      <w:r>
        <w:rPr>
          <w:u w:val="single"/>
        </w:rPr>
        <w:t xml:space="preserve">a continuing danger to the physical health or safety of the child caused by an act or failure to act of the parent, managing conservator, guardian, or other member of the child's household</w:t>
      </w:r>
      <w:r>
        <w:t xml:space="preserve"> [</w:t>
      </w:r>
      <w:r>
        <w:rPr>
          <w:strike/>
        </w:rPr>
        <w:t xml:space="preserve">the reasonable likelihood that the child may be abused or neglected in the immediate or foreseeable future</w:t>
      </w:r>
      <w:r>
        <w:t xml:space="preserve">];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reducing a substantial risk of abuse or neglect caused by an act or failure to act of the parent, managing conservator, guardian, or member of the child's household;</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permit the child and any siblings of the child to receive the services.</w:t>
      </w:r>
    </w:p>
    <w:p w:rsidR="003F3435" w:rsidRDefault="0032493E">
      <w:pPr>
        <w:spacing w:line="480" w:lineRule="auto"/>
        <w:ind w:firstLine="720"/>
        <w:jc w:val="both"/>
      </w:pPr>
      <w:r>
        <w:t xml:space="preserve">(b)</w:t>
      </w:r>
      <w:r xml:space="preserve">
        <w:t> </w:t>
      </w:r>
      <w:r xml:space="preserve">
        <w:t> </w:t>
      </w:r>
      <w:r>
        <w:rPr>
          <w:u w:val="single"/>
        </w:rPr>
        <w:t xml:space="preserve">A suit requesting an order under this section may be filed in a court with jurisdiction to hear the suit in the county in which the child is located</w:t>
      </w:r>
      <w:r>
        <w:t xml:space="preserve"> [</w:t>
      </w:r>
      <w:r>
        <w:rPr>
          <w:strike/>
        </w:rPr>
        <w:t xml:space="preserve">The department may request the court to order the parent, managing conservator, guardian, or other member of the child's household to participate in the services whether the child resides in the home or has been removed from the home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subchapter, the suit is governed by the Texas Rules of Civil Procedure applicable to the filing of an original lawsuit</w:t>
      </w:r>
      <w:r>
        <w:t xml:space="preserve"> [</w:t>
      </w:r>
      <w:r>
        <w:rPr>
          <w:strike/>
        </w:rPr>
        <w:t xml:space="preserve">If the person ordered to participate in the services fails to follow the court's order, the court may impose appropriate sanctions in order to protect the health and safety of the child, including the removal of the child as specified by Chapter 262</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petition shall be supported by a sworn affidavit by a person based on personal knowledge and stating facts sufficient to support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continuing danger to the physical health or safety of the child caused by an act or failure to act of the parent, managing conservator, guardian, or other member of the child's household unless that person participates in services requested by the department</w:t>
      </w:r>
      <w:r>
        <w:t xml:space="preserve"> [</w:t>
      </w:r>
      <w:r>
        <w:rPr>
          <w:strike/>
        </w:rPr>
        <w:t xml:space="preserve">If the court does not order the person to participate, the court in writing shall specify the reasons for not ordering participation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appoint an attorney ad litem to represent the interests of the child immediately after the filing but before the hearing to ensure adequate representation of the child.  The attorney ad litem for the child shall have the powers and duties of an attorney ad litem for a child under Chapter 107.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shall appoint an attorney ad litem to represent the interests of a parent for whom participation in services is being requested immediately after the filing but before the hearing to ensure adequate representation of the parent.  The attorney ad litem for the parent shall have the powers and duties of an attorney ad litem for a parent under Section 107.0131.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commencement of the hearing,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determines the parent is indigent, the attorney ad litem appointed to represent the interests of the parent may continue the representation.  If the court determines the parent is not indigent, the court shall discharge the attorney ad litem from the appointment after the hearing and shall order the parent to pay the cost of the attorney ad litem's representation.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order may be rendered under this section only after notice and hearing.</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conclusion of the hearing, the court shall deny the petition unless the court finds by a preponderance of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has occurred or there is a substantial risk of abuse or neglect or continuing danger to the physical health or safety of the child caused by an act or failure to act of the parent, managing conservator, guardian, or other member of the child's household;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are necessary to ensure the physical health or safety of the child.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court renders an order granting the petition,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its findings in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appropriate temporary orders under Chapter 105 necessary to ensure the safety of the child;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participation in specific services narrowly tailored to address the findings made by the court under Subsection (m).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court finds that a parent, managing conservator, guardian, or other member of the child's household did not cause the continuing danger to the physical health or safety of the child or the substantial risk of abuse or neglect, or was not the perpetrator of the abuse or neglect alleged, the court may not require that person to participate in services ordered under Subsection (n).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90th day after the date the court renders an order under this section, the court shall hold a hearing to review the status of each person required to participate in the services and the child and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An order rendered under this section expires on the 180th day after the date the order is signed unless the court extends the order as provided by Subsection (r) or (s).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court may extend an order rendered under this section on a showing by the department of a continuing need for the order, after notice and hearing.  Except as provided by Subsection (s), the court may extend the order only one time for not more than 180 days.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court may extend an order rendered under this section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services under the plan of service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or the person's attorney.</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At any time, a person affected by the order may request the court to terminate the order. The court shall terminate the order on finding the order is no longer needed.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161.101, Family Code, as amended by this Act, applies only to a petition or motion filed by the Department of Family and Protective Services on or after the effective date of this Act.  A petition or motion filed by the department before that date is governed by the law in effect on the date the petition or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