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Bonnen, Goldman,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elements of the criminal offense of election fraud; increasing criminal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276.013(a)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commits an offense if the person knowingly or intentionally makes any effort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influence the independent exercise of the vote of another in the presence of the ballot or during the voting process;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cause a voter to become registered, a ballot to be obtained, or a vote to be cast under false pretenses;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 invalid votes that the person knows to be invalid or alter a report to include invalid votes that the person knows to be invalid;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fail to count valid votes that the person knows to be valid or alter a report to exclude valid votes that the person knows to be </w:t>
      </w:r>
      <w:r>
        <w:rPr>
          <w:u w:val="single"/>
        </w:rPr>
        <w:t xml:space="preserve">valid;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cause any intentionally misleading statement, representation, or information to be provided: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an election official;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an application for ballot by mail, carrier envelope, or any other official election-related form or document.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</w:t>
      </w:r>
      <w:r>
        <w:rPr>
          <w:u w:val="single"/>
        </w:rPr>
        <w:t xml:space="preserve">felony of the second degree</w:t>
      </w:r>
      <w:r>
        <w:t xml:space="preserve"> [</w:t>
      </w:r>
      <w:r>
        <w:rPr>
          <w:strike/>
        </w:rPr>
        <w:t xml:space="preserve">Class A misdemeanor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