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deployment of special weapons and tactics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w:t>
      </w:r>
      <w:r>
        <w:rPr>
          <w:u w:val="single"/>
        </w:rPr>
        <w:t xml:space="preserve"> </w:t>
      </w:r>
      <w:r>
        <w:rPr>
          <w:u w:val="single"/>
        </w:rPr>
        <w:t xml:space="preserve"> </w:t>
      </w:r>
      <w:r>
        <w:rPr>
          <w:u w:val="single"/>
        </w:rPr>
        <w:t xml:space="preserve">SPECIAL WEAPONS AND TACTICS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"Body worn camera" has the meaning assigned by Section 1701.651.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weapons and tactics team" or "SWAT team" means a designated team of law enforcement officers who are specifically trained and equipped to work as a coordinated team to respond to critical incidents, including barricaded suspects, snipers, terrorist acts, the taking of hostages, and other high-risk incidents. </w:t>
      </w:r>
      <w:r>
        <w:rPr>
          <w:u w:val="single"/>
        </w:rPr>
        <w:t xml:space="preserve"> </w:t>
      </w:r>
      <w:r>
        <w:rPr>
          <w:u w:val="single"/>
        </w:rPr>
        <w:t xml:space="preserve">The term applies regardless of the name the law enforcement agency gives to the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PROVISION OF BODY WORN CAMERAS TO SWAT TEAMS.  (a)  A law enforcement agency may not create or administer a SWAT team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law enforcement officer on that team is equipped with a body worn camera;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establishes policies and procedures to ensure that body worn cameras: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activated and recording during all team action;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continue recording until: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suspects present at the scene have been arrested or released from custody;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 law enforcement personnel have left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Body worn camera video is subject to requirements provided by or adopted pursuant to Sections 1701.655 and 1701.755.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STANDARDS FOR DEPLOYMENT OF SWAT TEAMS.  (a) </w:t>
      </w:r>
      <w:r>
        <w:rPr>
          <w:u w:val="single"/>
        </w:rPr>
        <w:t xml:space="preserve"> </w:t>
      </w:r>
      <w:r>
        <w:rPr>
          <w:u w:val="single"/>
        </w:rPr>
        <w:t xml:space="preserve">A law enforcement agency administering a SWAT team shall adopt a policy designed to limit the deployment of that team to situations involving an imminent threat of serious bodily injury to law enforcement officers or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decision to deploy a SWAT team must be based on consideration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available evidence indicating an imminent threat to a person or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conditions are such that the suspect cannot reasonably be apprehended using routine methods.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existence of a legally owned firearm in the home of an individual does not in itself constitute evidence of an imminent threat.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 SWAT team is deployed for a planned warrant service or for an incident not involving ongoing violence: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believing an imminent threat exists must be reviewed and approved by a supervisor at the level of captain or above before the deployment occurs;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supervisor described by Subdivision (1) must provide in advance of the deployment written justification for any execution of a warrant after sunset and before sunrise.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REPORTS REQUIRED FOR SWAT TEAM DEPLOYMENTS.  (a)  Each law enforcement agency administering a SWAT team shall annually report information about team deployments and training to the agency's local governing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create: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curriculum and standards for certification as a SWAT team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continuing education requirements for SWAT team certified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in-service training requirements to be completed as a SWAT team;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 for use by law enforcement agencies for reporting to the local governing body as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to the local governing body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date on which the SWAT team was deployed;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for each incident involving the deployment of the SWAT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specific reason for the deployment, including a short description of the evidence of an imminent threat or the existence of a tip by an undercover or anonymous informant;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listing of military or forcible entry equipment used, if 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known, the age, gender, and race or ethnicity of each injured or deceased person involved in the incident;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list of any controlled substances, weapons, contraband, or other evidence of crime seized from the premises or from any persons;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any person used, exhibited, or carried a deadly weapon during the incident;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incident occurred as a result of an investigation of an offense involving a controlled substance;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training and education completed by the SWAT team collectively and for the SWAT team certified officers individually.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1701.755.</w:t>
      </w:r>
      <w:r>
        <w:rPr>
          <w:u w:val="single"/>
        </w:rPr>
        <w:t xml:space="preserve"> </w:t>
      </w:r>
      <w:r>
        <w:rPr>
          <w:u w:val="single"/>
        </w:rPr>
        <w:t xml:space="preserve"> </w:t>
      </w:r>
      <w:r>
        <w:rPr>
          <w:u w:val="single"/>
        </w:rPr>
        <w:t xml:space="preserve">VIDEO OR AUDIO RECORDINGS OF PERSONS INJURED BY SWAT TEAM.  A person who suffers serious bodily injury as a result of a SWAT team action, or an immediate family member of a person who suffered serious bodily injury or died as a result of a SWAT team action, is entitled to receive a copy of any video or audio recording made by the team and containing footage of the action.  The person or family member must submit a request for the recording to the law enforcement agency administering the applicable SWAT team.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on Law Enforcement shall adopt the rules required by Section 1701.754, Occupations Code, as added by this Act, not later than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law enforcement agency that administers a SWAT team on or after the effective date of this Act is not required to comply with Subchapter P, Chapter 1701, Occupations Code, as added by this Act, before March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