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87R398 MTB-D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Cole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587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on the suitability of unused and underused public facilities for joint use by state and local governmental entities.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DEFINITIONS.  In this Act: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"Commission"</w:t>
      </w:r>
      <w:r>
        <w:t xml:space="preserve"> </w:t>
      </w:r>
      <w:r>
        <w:t xml:space="preserve">means the Texas Facilities Commission.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"Governmental entity" means this state, a county, a municipality, or a school district.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"Public facility" means a facility owned or operated by a governmental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STUDY AND REPORT.  (a) </w:t>
      </w:r>
      <w:r>
        <w:t xml:space="preserve"> </w:t>
      </w:r>
      <w:r>
        <w:t xml:space="preserve">The commission shall conduct a study to assess the availability and suitability of existing unused and underused public facilities  for joint use by two governmental entities. </w:t>
      </w:r>
      <w:r>
        <w:t xml:space="preserve"> </w:t>
      </w:r>
      <w:r>
        <w:t xml:space="preserve">The study shall assess the economic advantages of that use.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 later than December 1, 2022, the commission shall submit to the governor, lieutenant governor, speaker of the house of representatives, and members of the legislature a written report on the results of the study.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EXPIRATION DATE.  This Act expires January 1, 2023.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EFFECTIVE DATE.  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