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personal financial statements filed by public officials and candidates.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each statement available to the public on the commission's Internet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Internet website a financial statement that may be destroyed under Subsection (c). </w:t>
      </w:r>
      <w:r>
        <w:rPr>
          <w:u w:val="single"/>
        </w:rPr>
        <w:t xml:space="preserve"> </w:t>
      </w:r>
      <w:r>
        <w:rPr>
          <w:u w:val="single"/>
        </w:rPr>
        <w:t xml:space="preserve">The commission may not make available on its Internet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572.032(b),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