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87R1320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life expectancies of inmates and correctional officers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493.034.</w:t>
      </w:r>
      <w:r>
        <w:rPr>
          <w:u w:val="single"/>
        </w:rPr>
        <w:t xml:space="preserve"> </w:t>
      </w:r>
      <w:r>
        <w:rPr>
          <w:u w:val="single"/>
        </w:rPr>
        <w:t xml:space="preserve"> </w:t>
      </w:r>
      <w:r>
        <w:rPr>
          <w:u w:val="single"/>
        </w:rPr>
        <w:t xml:space="preserve">LIFE EXPECTANCY OF INMATES AND CORRECTIONAL OFFICERS.  (a)  The department shall biennially review the average life expectancies of inmates confined in facilities operated by or under contract with the department and correctional officers employed by the department.  In conducting the review, the department shall identify and rank, by severity, the types of traumas or conditions experienced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inmates while confined that negatively affect the life expectancies of inmates;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correctional officers while working that negatively affect the life expectancies of correctional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adopt policies and implement methods or programs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the traumas or conditions identified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help inmates and correctional officers cope with the traumas or conditions.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even-numbered year, the department shall submit to the governor, the lieutenant governor, the speaker of the house of representatives, and each standing legislative committee with primary jurisdiction over the department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results of the review conducted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the policies, methods, or programs adopted or implemented under Subsection (b) and the effect of those policies, methods, or programs on the life expectancies of inmates and correctional officers.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