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87R1997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regular psychological examination of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H, Chapter 1701, Occupations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H. CONTINUING EDUCATION</w:t>
      </w:r>
      <w:r>
        <w:rPr>
          <w:u w:val="single"/>
        </w:rPr>
        <w:t xml:space="preserve">, REGULAR PSYCHOLOGICAL EXAMINATION,</w:t>
      </w:r>
      <w:r>
        <w:t xml:space="preserve"> AND YEARLY WEAPONS PROFICIENCY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1701, Occupations Code, is amended by adding Section 1701.3556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1701.3556.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REGULAR PSYCHOLOGICAL EXAMINATION.  (a)  Each peace officer shall submit to the psychological examination described by Section 1701.306 once every 24 months.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grounds for which a law enforcement agency may exempt a peace officer from the requirements of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adopt procedures to ensure timely and accurate reporting by law enforcement agencies and peace officers of the results of a psychological examination required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suspend the license of a peace officer who fails to comply with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 Not later than December 1, 2021, the Texas Commission on Law Enforcement shall adopt rules necessary to implement the changes in law made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who holds a license as a peace officer issued before the effective date of this Act may continue to renew that license without complying with Section 1701.3556,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