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this state from recognizing a license to carry a handgun issued by another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411.173(b),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 governor shall negotiate an agreement with any other state that provides for the issuance of a</w:t>
      </w:r>
      <w:r>
        <w:t xml:space="preserve">] license to carry a handgun [</w:t>
      </w:r>
      <w:r>
        <w:rPr>
          <w:strike/>
        </w:rPr>
        <w:t xml:space="preserve">under which a license</w:t>
      </w:r>
      <w:r>
        <w:t xml:space="preserve">] issued by </w:t>
      </w:r>
      <w:r>
        <w:rPr>
          <w:u w:val="single"/>
        </w:rPr>
        <w:t xml:space="preserve">another</w:t>
      </w:r>
      <w:r>
        <w:t xml:space="preserve"> [</w:t>
      </w:r>
      <w:r>
        <w:rPr>
          <w:strike/>
        </w:rPr>
        <w:t xml:space="preserve">the other</w:t>
      </w:r>
      <w:r>
        <w:t xml:space="preserve">] state </w:t>
      </w:r>
      <w:r>
        <w:rPr>
          <w:u w:val="single"/>
        </w:rPr>
        <w:t xml:space="preserve">may not be</w:t>
      </w:r>
      <w:r>
        <w:t xml:space="preserve"> [</w:t>
      </w:r>
      <w:r>
        <w:rPr>
          <w:strike/>
        </w:rPr>
        <w:t xml:space="preserve">is</w:t>
      </w:r>
      <w:r>
        <w:t xml:space="preserve">] recognized in this state [</w:t>
      </w:r>
      <w:r>
        <w:rPr>
          <w:strike/>
        </w:rPr>
        <w:t xml:space="preserve">or shall issue a proclamation that a license issued by the other state is recognized in this state if the attorney general of the State of Texas determines that a background check of each applicant for a license issued by that state is initiated by state or local authorities or an agent of the state or local authorities before the license is issued. For purposes of this subsection, "background check" means a search of the National Crime Information Center database and the Interstate Identification Index maintained by the Federal Bureau of Investigation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411.173(c) and (d),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governor and the Department of Public Safety shall take all appropriate actions to revoke, rescind, cancel, or modify any agreements or proclamations that exist on the effective date of this Act and are inconsistent with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handgun license that is issued by another state and valid on August 31, 2021, is recognized in this state until the agreement or proclamation authorizing the recognition of that license is revoked, rescinded, canceled, or modified as required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