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87R1445 RDS-D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laparoscopic removal of uterine fibroids.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8, Insurance Code, is amended by adding Chapter 1372 to read as follows:</w:t>
      </w:r>
    </w:p>
    <w:p w:rsidR="003F3435" w:rsidRDefault="0032493E">
      <w:pPr>
        <w:spacing w:line="480" w:lineRule="auto"/>
        <w:jc w:val="center"/>
      </w:pPr>
      <w:r>
        <w:rPr>
          <w:u w:val="single"/>
        </w:rPr>
        <w:t xml:space="preserve">CHAPTER 1372. COVERAGE FOR LAPAROSCOPIC REMOVAL OF UTERINE FIBROIDS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1372.001.</w:t>
      </w:r>
      <w:r>
        <w:rPr>
          <w:u w:val="single"/>
        </w:rPr>
        <w:t xml:space="preserve"> </w:t>
      </w:r>
      <w:r>
        <w:rPr>
          <w:u w:val="single"/>
        </w:rPr>
        <w:t xml:space="preserve"> </w:t>
      </w:r>
      <w:r>
        <w:rPr>
          <w:u w:val="single"/>
        </w:rPr>
        <w:t xml:space="preserve">APPLICABILITY OF CHAPTER.  (a)  This 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basic coverage plan under Chapter 1551;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basic plan under Chapter 1575;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primary care coverage plan under Chapter 1579;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plan providing basic coverage under Chapter 1601;</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regional or local health care program operated under Section 75.104, Health and Safety Code;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county employee group health benefits provided under Chapter 157, Local Government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and accident coverage provided by a risk pool created under Chapter 172,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1372.002.</w:t>
      </w:r>
      <w:r>
        <w:rPr>
          <w:u w:val="single"/>
        </w:rPr>
        <w:t xml:space="preserve"> </w:t>
      </w:r>
      <w:r>
        <w:rPr>
          <w:u w:val="single"/>
        </w:rPr>
        <w:t xml:space="preserve"> </w:t>
      </w:r>
      <w:r>
        <w:rPr>
          <w:u w:val="single"/>
        </w:rPr>
        <w:t xml:space="preserve">COVERAGE REQUIRED.  A health benefit plan that provides coverage for hysterectomy or myomectomy must provide coverage for laparoscopic removal of uterine fibroids, including intraoperative ultrasound guidance and monitoring and radiofrequency ablation.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1372, Insurance Code, as added by this Act, applies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