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87R17596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et al.</w:t>
      </w:r>
      <w:r xml:space="preserve">
        <w:tab wTab="150" tlc="none" cTlc="0"/>
      </w:r>
      <w:r>
        <w:t xml:space="preserve">H.B.</w:t>
      </w:r>
      <w:r xml:space="preserve">
        <w:t> </w:t>
      </w:r>
      <w:r>
        <w:t xml:space="preserve">No.</w:t>
      </w:r>
      <w:r xml:space="preserve">
        <w:t> </w:t>
      </w:r>
      <w:r>
        <w:t xml:space="preserve">611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611:</w:t>
      </w: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C.S.H.B.</w:t>
      </w:r>
      <w:r xml:space="preserve">
        <w:t> </w:t>
      </w:r>
      <w:r>
        <w:t xml:space="preserve">No.</w:t>
      </w:r>
      <w:r xml:space="preserve">
        <w:t> </w:t>
      </w:r>
      <w:r>
        <w:t xml:space="preserve">611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assistance of voters;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A person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w:t>
      </w:r>
      <w:r>
        <w:rPr>
          <w:u w:val="single"/>
        </w:rPr>
        <w:t xml:space="preserve">under penalty of perjury</w:t>
      </w:r>
      <w:r>
        <w:t xml:space="preserve"> that I will not suggest, by word, sign, or gesture, how the voter should vote; I will confine my assistance to answering the voter's questions, to stating propositions on the ballot, and to naming candidates and, if listed, their political parties; I will prepare the voter's ballot as the voter directs; </w:t>
      </w:r>
      <w:r>
        <w:rPr>
          <w:u w:val="single"/>
        </w:rPr>
        <w:t xml:space="preserve">I did not encourage, pressure, coerce, or intimidate the voter into choosing me to provide assistance;</w:t>
      </w:r>
      <w:r>
        <w:t xml:space="preserve"> and I am not the voter's employer, an agent of the voter's employer, or an officer or agent of a labor union to which the voter belongs."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276, Election Code, is amended by adding Section 276.017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276.017.</w:t>
      </w:r>
      <w:r>
        <w:rPr>
          <w:u w:val="single"/>
        </w:rPr>
        <w:t xml:space="preserve"> </w:t>
      </w:r>
      <w:r>
        <w:rPr>
          <w:u w:val="single"/>
        </w:rPr>
        <w:t xml:space="preserve"> </w:t>
      </w:r>
      <w:r>
        <w:rPr>
          <w:u w:val="single"/>
        </w:rPr>
        <w:t xml:space="preserve">PERJURY IN CONNECTION WITH CERTAIN VOTING PROCEDURES.  (a)  A person commits an offense if the person makes a false statement when making the oath described by Section 64.034 or swears to the truth of a false statement previously made when making the oath described by Section 64.034.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except that the punishment for an offense under this section is a state jail felony if it is shown on the trial of the offense that the person made a false statement under Subsection (a) three or more times in connection with any election in a four-year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