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87R3440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penalties for possession of two grams or less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two grams or less, except as provided by Subsection (c);</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two grams</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(b)(1) is a Class B misdemeanor if it is shown on the trial of the offense that the defendant has been previously convicted three or more times of an offense involving the possession of marihuana and each prior offense was committed within the 24-month period preceding the date of the commission of the instant offense.  For purposes of this subsection, "offense involving the possession of marihuana"</w:t>
      </w:r>
      <w:r>
        <w:rPr>
          <w:u w:val="single"/>
        </w:rPr>
        <w:t xml:space="preserve"> </w:t>
      </w:r>
      <w:r>
        <w:rPr>
          <w:u w:val="single"/>
        </w:rPr>
        <w:t xml:space="preserve">means an offense under this section or an offense under the laws of another state that contains elements substantially similar to the elements of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481.121(b)(1-a) or (c)</w:t>
      </w:r>
      <w:r>
        <w:t xml:space="preserve"> [</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 (b)(2), or (c)</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45.051,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to a defendant charged with an offense under Section 481.121, Health and Safety Code, who is granted a deferral under Subsection (a).  In addition to any other requirement, the judge shall, during the deferral period, require that the defendant successfully complete a drug abuse awareness and education program approved by the Texas Department of Licensing and Regulation.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 or (c)</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