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87R3417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allotment under the public school finance system for certain students whose parent or legal guardian has been incarcerated.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 Education Code, is amended by adding Section 48.116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w:t>
      </w:r>
      <w:r>
        <w:rPr>
          <w:u w:val="single"/>
        </w:rPr>
        <w:t xml:space="preserve"> </w:t>
      </w:r>
      <w:r>
        <w:rPr>
          <w:u w:val="single"/>
        </w:rPr>
        <w:t xml:space="preserve"> </w:t>
      </w:r>
      <w:r>
        <w:rPr>
          <w:u w:val="single"/>
        </w:rPr>
        <w:t xml:space="preserve">ALLOTMENT FOR STUDENTS WITH INCARCERATED PARENT.  For each student who has a parent or legal guardian who has been incarcerated in a penal institution, as defined by Section 1.07, Penal Code, during the school year for which the allotment is provided, a school district is entitled to an annual allotment equal to the district's basic allotment, or, if applicable, the sum of the basic allotment and the allotment under Section 48.101 to which the district is entitled, multiplied by 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