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offenses committed in retaliation for or on account of a person's service or status as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FOR CERTAIN OFFENSES COMMITTED IN RETALIATION FOR OR ON ACCOUNT OF PERSON'S SERVICE OR STATUS AS PUBLIC SERVANT.  (a)  In this section, "public servant" has the meaning assigned by Section 36.06.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the punishment for an offense described by Subsection (c)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committed against a person the actor knows is a public servant or a member of a public servant's family or household;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property that the actor knows belongs to, is under the control of, or is lawfully possessed by a public servant;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committed in retaliation for or on account of the service or status of the person as a public servant.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21.16, 21.18, 21.19, 22.011, 28.02, 28.03, 30.05, 33.02, 42.07, or 42.072;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Section 32.51, other than an offense punishable under Subsection (c-1) of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described by Subsection (c) is punishable as a Class A misdemeanor, the minimum term of confinement for the offense is increased to 180 days. If an offense described by Subsection (c) is punishable as a felony of the first degree, the punishment for that offense may not be increased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"member of a public servant's family" means a person related to the public servant within the second degree of consanguinity.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