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type of newspaper required for the publication of notices by governmental entities or representatives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2051.0441(b),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newspaper in which a notice is published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devote not less than 20 percent of its total column lineage to general interest items;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published at least once each week;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meet one of the following requirements: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be entered as periodical postal matter in the county where published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</w:t>
      </w:r>
      <w:r>
        <w:t xml:space="preserve">] have a mailed or delivered circulation of at least 51 percent of the residences in the county where published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notices by a governmental entity or representative of the county or a political subdivision located in the county, be published i</w:t>
      </w:r>
      <w:r>
        <w:rPr>
          <w:u w:val="single"/>
        </w:rPr>
        <w:t xml:space="preserve">n the county and designated by, as applicable, commissioners court order or official action of the governing body of the political subdivision as the newspaper for publication of notices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have been published regularly and continuously for at least 12 months before the governmental entity or representative publishes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