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detachable firearm magazine.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agency of this state or a political subdivision of this state, and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purporting to regulate a firearm, a firearm accessory, or firearm ammunition if the statute, order, rule, or regulation imposes a prohibition, restriction, or other regulation, such as a capacity or size limitation or a registration requirement,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August 31, 2021, that pertains to border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grant funds if the political subdivision adopts a rule, order, ordinance, or policy under which the political subdivision requires the enforcement of any federal statute, order, rule, or regulation described by Subsection (b) or, by consistent actions, requires the enforcement of any federal statute, order, rule, or regulation described by Subsection (b).  State grant funds for the political subdivision shall be denied for the fiscal year following the year in which a final judicial determination in an action brought under this section is made that the political subdivision has intentionally required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 political subdivision of this state may file a complaint with the attorney general if the citizen offers evidence to support an allegation that the political subdivision has adopted a rule, order, ordinance, or policy under which the political subdivision requires the enforcement of any federal statute, order, rule, or regulation described by Subsection (b) or an allegation that the political subdivision, by consistent actions, requires the enforcement of any federal statute, order, rule, or regulation described by Subsection (b).  The citizen must include with the complaint the evidence the citizen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that the federal government attempts to sue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