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87R3150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t xml:space="preserve"> </w:t>
      </w:r>
      <w:r>
        <w:rPr>
          <w:u w:val="single"/>
        </w:rPr>
        <w:t xml:space="preserve">(a)</w:t>
      </w:r>
      <w:r>
        <w:t xml:space="preserve"> </w:t>
      </w:r>
      <w:r>
        <w:t xml:space="preserve"> </w:t>
      </w:r>
      <w:r>
        <w:t xml:space="preserve">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for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rPr>
          <w:u w:val="single"/>
        </w:rPr>
        <w:t xml:space="preserve">(1-a)</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w:t>
      </w:r>
      <w:r>
        <w:rPr>
          <w:u w:val="single"/>
        </w:rPr>
        <w:t xml:space="preserve">detention officer,</w:t>
      </w:r>
      <w:r>
        <w:t xml:space="preserve"> firefighter, peace officer,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DISASTER DECLARATION.  A detention officer, firefighter, peace officer, or emergency medical technician who contracts a disease that is the basis for a disaster declared by the governor under Section 418.014 for all or part of the state and dies or is totally or partially disabled as a result of the disease is presumed to have contracted the disease during the course and scope of employment as a detention officer, firefighter, peace officer,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w:t>
      </w:r>
      <w:r>
        <w:t xml:space="preserve"> firefighter</w:t>
      </w:r>
      <w:r>
        <w:rPr>
          <w:u w:val="single"/>
        </w:rPr>
        <w:t xml:space="preserve">,</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 OF DUTY INJURY.  (a) </w:t>
      </w:r>
      <w:r>
        <w:rPr>
          <w:u w:val="single"/>
        </w:rPr>
        <w:t xml:space="preserve"> </w:t>
      </w:r>
      <w:r>
        <w:rPr>
          <w:u w:val="single"/>
        </w:rPr>
        <w:t xml:space="preserve">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 OF DUTY INJURY.  (a) </w:t>
      </w:r>
      <w:r>
        <w:rPr>
          <w:u w:val="single"/>
        </w:rPr>
        <w:t xml:space="preserve"> </w:t>
      </w:r>
      <w:r>
        <w:rPr>
          <w:u w:val="single"/>
        </w:rPr>
        <w:t xml:space="preserve">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