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87R1280 SMT-D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Krause</w:t>
      </w:r>
      <w:r xml:space="preserve">
        <w:tab wTab="150" tlc="none" cTlc="0"/>
      </w:r>
      <w:r>
        <w:t xml:space="preserve">H.B.</w:t>
      </w:r>
      <w:r xml:space="preserve">
        <w:t> </w:t>
      </w:r>
      <w:r>
        <w:t xml:space="preserve">No.</w:t>
      </w:r>
      <w:r xml:space="preserve">
        <w:t> </w:t>
      </w:r>
      <w:r>
        <w:t xml:space="preserve">638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certain political subdivisions to adopt a budget that reduces the amount allocated to provide a fire protection, law enforcement, or emergency medical service.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140, Local Government Code, is amended by adding Section 140.0046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140.0046.</w:t>
      </w:r>
      <w:r>
        <w:rPr>
          <w:u w:val="single"/>
        </w:rPr>
        <w:t xml:space="preserve"> </w:t>
      </w:r>
      <w:r>
        <w:rPr>
          <w:u w:val="single"/>
        </w:rPr>
        <w:t xml:space="preserve"> </w:t>
      </w:r>
      <w:r>
        <w:rPr>
          <w:u w:val="single"/>
        </w:rPr>
        <w:t xml:space="preserve">LIMITATION ON AUTHORITY OF CERTAIN POLITICAL SUBDIVISIONS TO REDUCE BUDGET FOR PUBLIC SAFETY SERVICES.  (a) </w:t>
      </w:r>
      <w:r>
        <w:rPr>
          <w:u w:val="single"/>
        </w:rPr>
        <w:t xml:space="preserve"> </w:t>
      </w:r>
      <w:r>
        <w:rPr>
          <w:u w:val="single"/>
        </w:rPr>
        <w:t xml:space="preserve">In this section, "public safety service" means a fire protection, law enforcement, or emergency medical service.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apply to a school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by Subsection (d), a political subdivision may not adopt a budget unless the political subdivision allocates money in that budget to provide for each public safety service in an amount equal to or greater than the amount allocated to provide for that service in the preceding fiscal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political subdivision may adopt a budget that does not meet the requirements of Subsection (c) that relate to a public safety service if the political subdivision will not provide that service in the fiscal year for which the budget is adopted.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purposes of this section, the amount allocated in a budget to provide a service includes all maintenance, operations, and debt service costs associated with providing the service.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the adoption of a budget by a political subdivision for a fiscal year that begins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