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87R574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642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dissemination of criminal history record information by the Department of Public Safety concerning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person is entitled to obtain from the department:</w:t>
      </w:r>
    </w:p>
    <w:p w:rsidR="003F3435" w:rsidRDefault="0032493E">
      <w:pPr>
        <w:spacing w:line="480" w:lineRule="auto"/>
        <w:ind w:firstLine="1440"/>
        <w:jc w:val="both"/>
      </w:pPr>
      <w:r>
        <w:t xml:space="preserve">(1)</w:t>
      </w:r>
      <w:r xml:space="preserve">
        <w:t> </w:t>
      </w:r>
      <w:r xml:space="preserve">
        <w:t> </w:t>
      </w:r>
      <w:r>
        <w:t xml:space="preserve">any information described as public information under Chapter 62, Code of Criminal Procedure, including, to the extent available, a recent photograph of each person subject to registration under that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criminal history record information maintained by the department that relates to the conviction of or a grant of deferred adjudication to a person for any criminal offense, including arrest information that relates to the conviction or grant of deferred adjudication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information described as public information under Section 411.1356(a)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Sections 411.1356 and 411.1357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411.1356.</w:t>
      </w:r>
      <w:r>
        <w:rPr>
          <w:u w:val="single"/>
        </w:rPr>
        <w:t xml:space="preserve"> </w:t>
      </w:r>
      <w:r>
        <w:rPr>
          <w:u w:val="single"/>
        </w:rPr>
        <w:t xml:space="preserve"> </w:t>
      </w:r>
      <w:r>
        <w:rPr>
          <w:u w:val="single"/>
        </w:rPr>
        <w:t xml:space="preserve">PUBLIC ACCESS TO CRIMINAL HISTORY RECORD INFORMATION CONCERNING CERTAIN INTOXICATION OFFENSES.  (a)  Criminal history record information that concerns a person's conviction within the preceding 10-year period for an offense under Section 49.04, 49.045, 49.07, or 49.08, Penal Code, is public information, with the exception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information regarding the person's social security number, driver's license or personal identification certificate number, or telephone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information that would identify a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implement and maintain an Internet website to allow any person, free of charge, to electronically search for and receive information described by Subsection (a). The website must be searchable by zip code, city, county, or the name of the person convicted.  The search results must include for each person convicted: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and last known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recent photograph of the person, if a photograph is available to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remove the criminal history record information concerning a person's conviction for an offense listed in Subsection (a) from the Internet website as soon as practicable after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10th anniversary of the date of the conviction;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conviction is reversed on appeal;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an order of nondisclosure of criminal history record information under Subchapter E-1 is issued with respect to that conviction;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an order of expunction is entered with respect to records and files in the case.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411.1357.</w:t>
      </w:r>
      <w:r>
        <w:rPr>
          <w:u w:val="single"/>
        </w:rPr>
        <w:t xml:space="preserve"> </w:t>
      </w:r>
      <w:r>
        <w:rPr>
          <w:u w:val="single"/>
        </w:rPr>
        <w:t xml:space="preserve"> </w:t>
      </w:r>
      <w:r>
        <w:rPr>
          <w:u w:val="single"/>
        </w:rPr>
        <w:t xml:space="preserve">CRIMINAL HISTORY RECORD INFORMATION CONCERNING CERTAIN INTOXICATION OFFENSES PROVIDED TO PEACE OFFICER ON REQUEST.  (a)  The department shall establish a procedure by which a peace officer or employee of a law enforcement agency who provides the department with a driver's license number, personal identification certificate number, or license plate number may be provided any criminal history record information maintained by the department concerning a conviction of the person to whom the license, certificate, or plate is issued for an offense under Section 49.04, 49.045, 49.07, or 49.08, Penal Code, within the preceding 10-year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established under Subsection (a) must allow a peace officer to request the information from the location of a motor vehicle stop and to receive a response to the request within the duration of a reasonable motor vehicle stop.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August 1, 2022, the Department of Public Safety shall implement the Internet website required under Section 411.1356, Government Code, as added by this Act, and shall make available to a requesting person the information described by Section 411.1356 or 411.1357,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December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