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87R589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645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honesty in state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Tax Code, is amended by adding Chapter 102 to read as follows:</w:t>
      </w:r>
    </w:p>
    <w:p w:rsidR="003F3435" w:rsidRDefault="0032493E">
      <w:pPr>
        <w:spacing w:line="480" w:lineRule="auto"/>
        <w:jc w:val="center"/>
      </w:pPr>
      <w:r>
        <w:rPr>
          <w:u w:val="single"/>
        </w:rPr>
        <w:t xml:space="preserve">CHAPTER 102.  HONESTY IN STATE TAXATION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102.0001.</w:t>
      </w:r>
      <w:r>
        <w:rPr>
          <w:u w:val="single"/>
        </w:rPr>
        <w:t xml:space="preserve"> </w:t>
      </w:r>
      <w:r>
        <w:rPr>
          <w:u w:val="single"/>
        </w:rPr>
        <w:t xml:space="preserve"> </w:t>
      </w:r>
      <w:r>
        <w:rPr>
          <w:u w:val="single"/>
        </w:rPr>
        <w:t xml:space="preserve">LEGISLATIVE FINDINGS AND INTENT.  The legislature finds that this state has hidden from taxpayers the enactment and increase of state taxes by describing the taxes by other names such as "fees," "levies," "surcharges," "assessments," "fines," and "penalties." It is the intent of the legislature to establish honesty in state taxation and appropriately identify state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"Regulatory tax" means a fee, levy, surcharge, assessment, fine, penalty, or other charge of any kind imposed by this state for a primary purpose other than to raise revenue for general purposes,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charge imposed for a specific benefit conferred or privilege granted directly to the taxpayer that is not provided to a person who did not pay the charge and that does not exceed the reasonable cost to this state of conferring the benefit or granting the privilege;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charge imposed for a specific state service or product provided directly to the taxpayer that is not provided to a person who did not pay the charge and that does not exceed the reasonable cost to this state of providing the service or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charge imposed for the reasonable regulatory cost to this state related to the issuance of a license or permit, the performance of an investigation, inspection, or audit, or the enforcement of a state law or order;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charge imposed for the purchase, rental, lease, or other use of state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fine, penalty, or other monetary charge imposed by this state for or in connection with a violation of a state law or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commission, department, or other agency in the executive branch of state government that is created by the constitution or a statute of this state, including an institution of higher education as defined by Section 61.003, Education Code, other than a public junior college, as defined by that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legislature or a legislative agency;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supreme court, the court of criminal appeals, a court of appeals, or a state judicial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102.0003.</w:t>
      </w:r>
      <w:r>
        <w:rPr>
          <w:u w:val="single"/>
        </w:rPr>
        <w:t xml:space="preserve"> </w:t>
      </w:r>
      <w:r>
        <w:rPr>
          <w:u w:val="single"/>
        </w:rPr>
        <w:t xml:space="preserve"> </w:t>
      </w:r>
      <w:r>
        <w:rPr>
          <w:u w:val="single"/>
        </w:rPr>
        <w:t xml:space="preserve">USE OF HONEST STATE TAXATION TERMINOLOGY REQUIRED IN LEGISLATION.  The legislature and the Texas Legislative Council are directed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identify a state tax, including a regulatory tax, as another type of state charge such as a "fee," "levy," "surcharge," "assessment," "fine," or "penalty" in any new statute or resolution;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a reference to a state charge that is not correctly identified as a state tax in the course of otherwise amending the state law containing the reference.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102.0004.</w:t>
      </w:r>
      <w:r>
        <w:rPr>
          <w:u w:val="single"/>
        </w:rPr>
        <w:t xml:space="preserve"> </w:t>
      </w:r>
      <w:r>
        <w:rPr>
          <w:u w:val="single"/>
        </w:rPr>
        <w:t xml:space="preserve"> </w:t>
      </w:r>
      <w:r>
        <w:rPr>
          <w:u w:val="single"/>
        </w:rPr>
        <w:t xml:space="preserve">USE OF HONEST STATE TAXATION TERMINOLOGY REQUIRED IN STATE RULES, MATERIALS, PUBLICATIONS, AND ELECTRONIC MEDIA.  A state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identify a state tax, including a regulatory tax, as another type of state charge such as a "fee," "levy," "surcharge," "assessment," "fine," or "penalty" when proposing or adopting the agency's rules, reference materials, publications, and electronic media;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change a reference to a state charge that is not correctly identified as a state tax when amending the agency's rules, reference materials, publications, and electronic media.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STATE AGENCIES FOR HONEST STATE TAXATION TERMINOLOGY.  As part of its review of a state agency, the commission shall consider and make recommendations regarding statutory revisions necessary to correctly identify state charges as state taxes in accordance with the legislative intent prescribed by Chapter 102,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