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certain evidence of intoxication in the prosecution of a criminal offense involving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38.51.</w:t>
      </w:r>
      <w:r>
        <w:rPr>
          <w:u w:val="single"/>
        </w:rPr>
        <w:t xml:space="preserve"> </w:t>
      </w:r>
      <w:r>
        <w:rPr>
          <w:u w:val="single"/>
        </w:rPr>
        <w:t xml:space="preserve"> </w:t>
      </w:r>
      <w:r>
        <w:rPr>
          <w:u w:val="single"/>
        </w:rPr>
        <w:t xml:space="preserve">INTOXICATION EVIDENCE IN PROSECUTION OF OFFENSE INVOLVING MOTOR VEHICLE.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and "drug" have the meanings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"Intoxicated" has the meaning assigned by Section 49.01,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"Motor vehicle" has the meaning assigned by Section 32.34,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Rule 403 of the Texas Rules of Evidence and except as provided by Subsection (c), in the prosecution of any offense involving a motor vehicle, a party may offer evidence as to all relevant facts and circumstances that would aid the trier of fact in determining whether the defendant was intoxicated at the time of the offense.  Evidence offered under this article is admissible for any purpose other than to show the character of the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prosecution of any offense involving a motor vehicle, only an analysis of a lawfully obtained specimen of the defendant's blood, breath, or urine or other bodily substance is admissible to show the defendant's alcohol concentration or the presence of a controlled substance, drug, dangerous drug, or other substance in the defendant's body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