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87R2661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665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emergency rule adopted by a state agency during certain periods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2001.034, Government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(c-1), a</w:t>
      </w:r>
      <w:r>
        <w:t xml:space="preserve"> [</w:t>
      </w:r>
      <w:r>
        <w:rPr>
          <w:strike/>
        </w:rPr>
        <w:t xml:space="preserve">A</w:t>
      </w:r>
      <w:r>
        <w:t xml:space="preserve">] rule adopted under this section may be effective for not longer than 120 days and may be renewed once for not longer than 60 days.  An identical rule may be adopted under Sections 2001.023 and 2001.029.</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This subsection applies only to an emergency rule adopted during a period in which at least 75 percent of the counties in this state are declared to be in a state of disaster or emergency by the governor.  An emergency rule to which this subsection applies may be effective for not longer than 30 days and may be renewed for not longer than 60 days.  The renewal must be approved by majority vote at a joint hearing of the standing committees of each house of the legislature with primary jurisdiction over the state agency seeking to renew the emergency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2001.034(c-1), Government Code, as added by this Act, applies only to an emergency rule that is adopted by a state agency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