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reckless discharge of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22.055.</w:t>
      </w:r>
      <w:r>
        <w:rPr>
          <w:u w:val="single"/>
        </w:rPr>
        <w:t xml:space="preserve"> </w:t>
      </w:r>
      <w:r>
        <w:rPr>
          <w:u w:val="single"/>
        </w:rPr>
        <w:t xml:space="preserve"> </w:t>
      </w:r>
      <w:r>
        <w:rPr>
          <w:u w:val="single"/>
        </w:rPr>
        <w:t xml:space="preserve">RECKLESS DISCHARGE OF FIREARM.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"Blanks" means ammunition for a firearm that lacks shot or a bullet.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"Hunting" means to hunt, as defined by Section 1.101, Parks and Wildlife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discharges a firearm and at the time of discharge: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reckless as to whether the firearm was aimed at the person's intended target;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have an intended target.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 except that the offense is a felony of the second degree if it is shown on the trial of the offense that serious bodily injury or death was suffered by any person by reason of the commission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 the person discharged the firearm: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sport shooting range, as defined by Section 250.001,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hunting as licensed, permitted, or otherwise authorized by the Parks and Wildlife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while the firearm was loaded with blanks;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while in the course of making a motion picture or television or digital production for which the Texas Film Commission or a political subdivision of this state has issued a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an offense under another section of this code, the actor may be prosecuted under this section or the other section of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