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87R2086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school district compliance with certain  school safety measures; providing an administrative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37, Education Code, is amended by adding Section 37.219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37.219.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OF NONCOMPLIANCE WITH CERTAIN SCHOOL SAFETY MEASURES.  (a)  The center shall report to the agency if a school district fails to comply with a requirement under any of the following provisions: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37.108(a), (b), or (c);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37.109;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37.207(b);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37.2121(d).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agency receives a report under Subsection (a) of a school district's </w:t>
      </w:r>
      <w:r>
        <w:rPr>
          <w:u w:val="single"/>
        </w:rPr>
        <w:t xml:space="preserve"> </w:t>
      </w:r>
      <w:r>
        <w:rPr>
          <w:u w:val="single"/>
        </w:rPr>
        <w:t xml:space="preserve">failure to comply, the agency may impose an administrative penalty against the district in an amount not greater than the amount of the annual salary of the district's superintendent.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