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692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19,</w:t>
      </w:r>
      <w:r xml:space="preserve">
        <w:t> </w:t>
      </w:r>
      <w:r>
        <w:t xml:space="preserve">2021, reported favorably by the following vote:</w:t>
      </w:r>
      <w:r>
        <w:t xml:space="preserve"> </w:t>
      </w:r>
      <w:r>
        <w:t xml:space="preserve"> </w:t>
      </w:r>
      <w:r>
        <w:t xml:space="preserve">Yeas 8,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w:t>
      </w:r>
      <w:r>
        <w:rPr>
          <w:u w:val="single"/>
        </w:rPr>
        <w:t xml:space="preserve">work required to be performed under the</w:t>
      </w:r>
      <w:r>
        <w:t xml:space="preserve"> </w:t>
      </w:r>
      <w:r>
        <w:t xml:space="preserve">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public works contract relates to the construction or maintenance of a dam, as that term is defined by Section 423.0045, regardless of the total value of the contract,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public works contract,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work required to be performed under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work required to be performed under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The governmental entity must provide to the prime contractor written notice of the basis on which the governmental entity is withholding retainage under this subsection.  If there is no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entity is not required to accept a prime contractor's offer of compensation under Subsection (f)(2).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(f) may not be construed to limit either the governmental entity's or prime contractor's right to pursue any remedy available under the express terms of the public works contract or other applicable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receives financial assistance under Section 15.432 or 15.472, Water Code, for a project that is formally approved by the Texas Water Development Board.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as affecting a governmental entity's ability to retain certain amounts due under a contract as required by Chapter 2258.</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