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87R2437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H.B.</w:t>
      </w:r>
      <w:r xml:space="preserve">
        <w:t> </w:t>
      </w:r>
      <w:r>
        <w:t xml:space="preserve">No.</w:t>
      </w:r>
      <w:r xml:space="preserve">
        <w:t> </w:t>
      </w:r>
      <w:r>
        <w:t xml:space="preserve">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voter registration applications.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13.073, Election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or (b-1)</w:t>
      </w:r>
      <w:r>
        <w:t xml:space="preserve">, the registrar shall deliver written notice of the reason for the rejection of an application to the applicant not later than the second day after the date of rejection.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Before rejecting an application on which an applicant provided a telephone number or e-mail address, the registrar may notify an applicant by telephone or e-mail that the registrar needs additional information to approve the application, including correcting an applicant's date of birth, correcting the spelling of the applicant's name, or providing additional information to correct an address or county of residence. The registrar shall make a reasonable effort to contact the applicant by telephone or e-mail. The registrar may send the applicant by mail or e-mail a blank voter registration application that includes the address to return the application to the registrar.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w:t>
      </w:r>
      <w:r xml:space="preserve">
        <w:t> </w:t>
      </w:r>
      <w:r xml:space="preserve">
        <w:t> </w:t>
      </w:r>
      <w:r>
        <w:t xml:space="preserve">"I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w:t>
      </w:r>
      <w:r>
        <w:rPr>
          <w:u w:val="single"/>
        </w:rPr>
        <w:t xml:space="preserve">, e-mail address,</w:t>
      </w:r>
      <w:r>
        <w:t xml:space="preserve">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a space for the applicant's e-mail address; and</w:t>
      </w:r>
    </w:p>
    <w:p w:rsidR="003F3435" w:rsidRDefault="0032493E">
      <w:pPr>
        <w:spacing w:line="480" w:lineRule="auto"/>
        <w:ind w:firstLine="1440"/>
        <w:jc w:val="both"/>
      </w:pPr>
      <w:r>
        <w:rPr>
          <w:u w:val="single"/>
        </w:rPr>
        <w:t xml:space="preserve">(15)</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