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87R18058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 Geren</w:t>
      </w:r>
      <w:r xml:space="preserve">
        <w:tab wTab="150" tlc="none" cTlc="0"/>
      </w:r>
      <w:r>
        <w:t xml:space="preserve">H.B.</w:t>
      </w:r>
      <w:r xml:space="preserve">
        <w:t> </w:t>
      </w:r>
      <w:r>
        <w:t xml:space="preserve">No.</w:t>
      </w:r>
      <w:r xml:space="preserve">
        <w:t> </w:t>
      </w:r>
      <w:r>
        <w:t xml:space="preserve">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entities that provide mental health services to veterans or veterans' families to provide military informed care or military cultural competency training to certain entity personnel to accept a grant from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434.352,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not award a grant to an entity for the provision of mental health services to veterans or veterans' families unless the entity demonstrates that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received and successfully executed a grant from the state agency;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training on military informed care or military cultural competency to entity personnel who provide mental health services to veterans or veterans' families or requires those personnel to complete military competency training provided by any of the following: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Human Services Commission;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Military Veteran Peer Network;</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Substance Abuse and Mental Health Services Administration within the United States Department of Health and Human Services;</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United States Department of Defense;</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United States Department of Veterans Affairs;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nonprofit organization that is exempt from federal income taxation under Section 501(a), Internal Revenue Code of 1986, as amended, by being listed as an exempt entity under Section 501(c)(3), with experience in providing training or technical assistance to entities that provide mental health services to veterans or veterans' families.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and the Department of State Health Services shall jointly undertake to ensure that a state agency that may award a grant subject to the requirements of Subsection (e) has adopted policies to ensure compliance with Subsection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I, Chapter 1001, Health and Safety Code, is amended to read as follows:</w:t>
      </w:r>
    </w:p>
    <w:p w:rsidR="003F3435" w:rsidRDefault="0032493E">
      <w:pPr>
        <w:spacing w:line="480" w:lineRule="auto"/>
        <w:jc w:val="center"/>
      </w:pPr>
      <w:r>
        <w:t xml:space="preserve">SUBCHAPTER I. MENTAL HEALTH </w:t>
      </w:r>
      <w:r>
        <w:rPr>
          <w:u w:val="single"/>
        </w:rPr>
        <w:t xml:space="preserve">SERVICES</w:t>
      </w:r>
      <w:r>
        <w:t xml:space="preserve"> [</w:t>
      </w:r>
      <w:r>
        <w:rPr>
          <w:strike/>
        </w:rPr>
        <w:t xml:space="preserve">PROGRAM</w:t>
      </w:r>
      <w:r>
        <w:t xml:space="preserve">] FOR VETERANS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1001, Health and Safety Code, is amended by adding Section 1001.225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1001.225.</w:t>
      </w:r>
      <w:r>
        <w:rPr>
          <w:u w:val="single"/>
        </w:rPr>
        <w:t xml:space="preserve"> </w:t>
      </w:r>
      <w:r>
        <w:rPr>
          <w:u w:val="single"/>
        </w:rPr>
        <w:t xml:space="preserve"> </w:t>
      </w:r>
      <w:r>
        <w:rPr>
          <w:u w:val="single"/>
        </w:rPr>
        <w:t xml:space="preserve">LIMITATION ON GRANTS.  The department may not award a grant to an entity for the provision of mental health services to veterans or veterans' families unless the entity demonstrates that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received and successfully executed a grant from the department;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training on military informed care or military cultural competency to entity personnel who provide  mental health services to veterans or veterans' families or requires those personnel to complete military competency training provided by any of the following: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Veterans Commission;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Military Veteran Peer Network;</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Substance Abuse and Mental Health Services Administration within the United States Department of Health and Human Services;</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United States Department of Defense;</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United States Department of Veterans Affairs;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nonprofit organization that is exempt from federal income taxation under Section 501(a), Internal Revenue Code of 1986, as amended, by being listed as an exempt entity under Section 501(c)(3), with experience in providing training or technical assistance to entities that provide mental health services to veterans or veterans' families.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