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87R3557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consecutive sentences for more than one criminal offense of injury to a child, elderly individual, or disabled individual arising out of the same criminal episode.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 20A.03, or 43.05,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more than one section; or</w:t>
      </w:r>
    </w:p>
    <w:p w:rsidR="003F3435" w:rsidRDefault="0032493E">
      <w:pPr>
        <w:spacing w:line="480" w:lineRule="auto"/>
        <w:ind w:firstLine="1440"/>
        <w:jc w:val="both"/>
      </w:pPr>
      <w:r>
        <w:t xml:space="preserve">(6)</w:t>
      </w:r>
      <w:r xml:space="preserve">
        <w:t> </w:t>
      </w:r>
      <w:r xml:space="preserve">
        <w:t> </w:t>
      </w:r>
      <w:r>
        <w:t xml:space="preserve">an offense[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under Section </w:t>
      </w:r>
      <w:r>
        <w:rPr>
          <w:u w:val="single"/>
        </w:rPr>
        <w:t xml:space="preserve">22.04</w:t>
      </w:r>
      <w:r>
        <w:t xml:space="preserve"> [</w:t>
      </w:r>
      <w:r>
        <w:rPr>
          <w:strike/>
        </w:rPr>
        <w:t xml:space="preserve">22.04(a)(1) or (2) or Section 22.04(a-1)(1) or (2) that is punishable as a felony of the first degree, regardless of whether the accused is convicted of violations of the same section more than once or is convicted of violations of more than one section;</w:t>
      </w:r>
      <w:r>
        <w:t xml:space="preserve">] or </w:t>
      </w:r>
      <w:r>
        <w:rPr>
          <w:u w:val="single"/>
        </w:rPr>
        <w:t xml:space="preserve">an offense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for which a plea agreement was reached in a case in which the accused was charged with more than one offense </w:t>
      </w:r>
      <w:r>
        <w:rPr>
          <w:u w:val="single"/>
        </w:rPr>
        <w:t xml:space="preserve">under Section 22.04</w:t>
      </w:r>
      <w:r>
        <w:t xml:space="preserve"> [</w:t>
      </w:r>
      <w:r>
        <w:rPr>
          <w:strike/>
        </w:rPr>
        <w:t xml:space="preserve">listed in Paragraph (A) and punishable as described by that paragraph, regardless of whether the accused is charged with violations of the same section more than once or is charged with violations of more than one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