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Murr</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707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regulatory deficiencies and potential impacts on recovery housing, including the impacts on local government resources and interests of the surrounding community;</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