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87R1217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payments made to certain foster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264.101, Family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addition to the daily foster care reimbursement rate paid to a foster parent under this section, the department shall pay an additional amount equal to 40 percent of the daily foster care reimbursement rate paid to the foster parent if the foster parent: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cares for a foster child who is 16 years of age or younger;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adjusted household income that does not exceed 150 percent of the current federal poverty guidelines for the relevant household size.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