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87R2859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nonconsensual medical procedures and treatment on certain minors with intersex traits.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266, Family Code, is amended by designating Sections 266.001 through 266.013 as Subchapter A and adding a subchapter heading to read as follows:</w:t>
      </w:r>
    </w:p>
    <w:p w:rsidR="003F3435" w:rsidRDefault="0032493E">
      <w:pPr>
        <w:spacing w:line="480" w:lineRule="auto"/>
        <w:jc w:val="center"/>
      </w:pPr>
      <w:r>
        <w:rPr>
          <w:u w:val="single"/>
        </w:rPr>
        <w:t xml:space="preserve">SUBCHAPTER A.  GENERAL PROVISIONS; EDUCATIONAL SERVICES;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266, Family Code, is amended by adding Subchapter B to read as follows:</w:t>
      </w:r>
    </w:p>
    <w:p w:rsidR="003F3435" w:rsidRDefault="0032493E">
      <w:pPr>
        <w:spacing w:line="480" w:lineRule="auto"/>
        <w:jc w:val="center"/>
      </w:pPr>
      <w:r>
        <w:rPr>
          <w:u w:val="single"/>
        </w:rPr>
        <w:t xml:space="preserve">SUBCHAPTER B.  MEDICAL PROCEDURES AND TREATMENTS RELATED TO INTERSEX TRAITS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trait" means an inborn chromosomal, gonadal, genital, or endocrine characteristic, or a combination of those characteristics, that is not suited to the typical definition of male or female or is atypical for the sex assigned to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procedure or treatment related to an intersex trait"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hormonal treatment to treat or modify an intersex trait;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genital surgery,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clitorectomy, clitoroplasty, clitoral reduction, and clitoral recession, including corporal-sparing procedures;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vaginoplasty, introitoplasty, vaginal exteriorization, and partial or total urogenital sinus mobilization;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labiaplasty and labial reduction;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hypospadias surgery, relocation of the urethral meatus, and chordee release;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phalloplasty;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gonadectomy, including of testes, ovaries, ovotestes, or streak gonads.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"Medically necessary" means a medical procedure or treatment immediately necessary to treat an injury, illness, disease, or condition affecting a child's health that if delayed would adversely affect the child's physical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266.052.</w:t>
      </w:r>
      <w:r>
        <w:rPr>
          <w:u w:val="single"/>
        </w:rPr>
        <w:t xml:space="preserve"> </w:t>
      </w:r>
      <w:r>
        <w:rPr>
          <w:u w:val="single"/>
        </w:rPr>
        <w:t xml:space="preserve"> </w:t>
      </w:r>
      <w:r>
        <w:rPr>
          <w:u w:val="single"/>
        </w:rPr>
        <w:t xml:space="preserve">REQUIREMENTS FOR CERTAIN MEDICAL PROCEDURES OR TREATMENTS.  A physician may not perform a medical procedure or treatment related to an intersex trait on a foster child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or treatment is medically necessary and the child consents to the procedure or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procedure or treatment that is not medically necessary, the child consents to the procedure or treatment and a court authorizes the procedure or treatment as provided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266.053.</w:t>
      </w:r>
      <w:r>
        <w:rPr>
          <w:u w:val="single"/>
        </w:rPr>
        <w:t xml:space="preserve"> </w:t>
      </w:r>
      <w:r>
        <w:rPr>
          <w:u w:val="single"/>
        </w:rPr>
        <w:t xml:space="preserve"> </w:t>
      </w:r>
      <w:r>
        <w:rPr>
          <w:u w:val="single"/>
        </w:rPr>
        <w:t xml:space="preserve">INFORMED CONSENT.  (a)  Consent to a medical procedure or treatment related to an intersex trait is voluntary and informed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provides to the child and the child's caregivers the information necessary for the child to provide voluntary and informed consent to the procedure or treatment,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procedure or treatment, including whether and the extent to which the procedure is irreversible;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goals of the procedure or treatment, including whether the benefits of the proposed procedure or treatment are medical, psychological, or social, and the strength of the evidence supporting claims that the procedure provides each of those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possible risks associated with the procedure or treatment, including, if applicable, risk from anesthesia, loss of reproductive capacity, and loss of sexual function or sensation;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alternatives to the proposed procedure or treatment, including delay of the procedure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at least two separate occasions a mental health professional with previous experience treating individuals with intersex traits evaluates the child and the child's caregivers to ensure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an undiagnosed mental health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capacity to understand the procedure or treatment and is providing voluntary and informed consent absent coercion from family members or medical staff;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is in writing and includes the following statements: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 (name of child) certify that I understand (reprint of Subdivisions (1)(A)-(D)) and consent to (description of medical procedure or treatment) to be performed or provided by (name of physician) on (date the medical procedure or treatment is scheduled to be performed or provided on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 (name of physician performing the procedure or providing the treatment) certify that I have discussed with (name of child and names of child's caregivers) (reprint of Subdivisions (1)(A)-(D)) on (date the information was provided).";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 (name of mental health professional) certify that I have discussed with (name of child and names of child's caregivers) (reprint of Subdivisions (1)(A)-(D)) on (date the information was provided). </w:t>
      </w:r>
      <w:r>
        <w:rPr>
          <w:u w:val="single"/>
        </w:rPr>
        <w:t xml:space="preserve"> </w:t>
      </w:r>
      <w:r>
        <w:rPr>
          <w:u w:val="single"/>
        </w:rPr>
        <w:t xml:space="preserve">It is my professional opinion that (name of child) actively desires (name of procedure or treatment) and is capable of providing informed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child's physician shall retain the original consent in the child's medical record and provide a copy of the consent to the child and the child's caregivers.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266.054.</w:t>
      </w:r>
      <w:r>
        <w:rPr>
          <w:u w:val="single"/>
        </w:rPr>
        <w:t xml:space="preserve"> </w:t>
      </w:r>
      <w:r>
        <w:rPr>
          <w:u w:val="single"/>
        </w:rPr>
        <w:t xml:space="preserve"> </w:t>
      </w:r>
      <w:r>
        <w:rPr>
          <w:u w:val="single"/>
        </w:rPr>
        <w:t xml:space="preserve">COURT APPROVAL OF CERTAIN MEDICAL PROCEDURES OR TREATMENTS.  (a)  If the department determines a foster child should undergo a medical procedure or treatment related to an intersex trait that is not medically necessary or the child wants to undergo the procedure or treatment, the department or child may file a petition with the court having continuing jurisdiction over the child seeking court approval for the procedure or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hold a hearing to determine whether the proposed medical procedure or treatment related to an intersex trait is in the child's best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child must be represented by an attorney at the hearing.  The attorney for the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adequate knowledge of intersex traits, the intersex population, and the range of medical procedures or treatments available to treat the child's intersex trait, including the option to delay any procedure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the child, to the extent possible given the child's age,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medical procedure or treatment;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and the extent to which the proposed medical procedure or treatment is irreversible;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projected outcome of, the possible risks associated with, and the alternatives, including delay, to the proposed medical procedure or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interview the child, to the extent possible given the child's age, to determine the child's wishes regarding the pursuit or delay of any proposed medical procedure or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child, to the extent possible given the child's age, in assessing the child's desires related to the child's medical care and in communicating the child's desires to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child younger than 12 years of age, argue against a proposed medical procedure or treatment that is not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the suit may submit to the court a report or introduce evidence from a qualified expert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traits and the intersex population in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specific intersex traits;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medical procedures and treatments available to treat the child's intersex traits, including delay;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medical procedure or treatment proposed for the child, including the risks and anticipated benefits associated with the procedure or treatment and the possibility that the child's ultimate gender identity may differ from the sex assigned;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and the extent to which the medical procedure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irreversible;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safely be delayed until the child is of an age to participate in the decision-making process;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physician's duty to obtain informed consent from the child and whether the duty has been adequately discharged;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public statements of intersex individuals or patient advocates regarding Subdivisions (1)-(6).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the hearing, the court shall determine whether the proposed medical procedure or treatment related to an intersex trait is in the child's best interest and render an order with specific findings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clear and convincing evidence establishes that the short-term or long-term physical benefits of the proposed medical procedure or treatment outweigh the short-term or long-term physical risks;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clear and convincing evidence establishes that the short-term and long-term psychological benefits of the proposed medical procedure or treatment outweigh the short-term or long-term psychological risks;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extent to which the proposed medical procedure or treatment would limit the child's future options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fertility;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development or construction of female-typical characteristics;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development or construction of male-typical characteristics;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preservation of body characteristics unaltered by decisions the child did not initiate;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clear and convincing evidence establishes that any limitation identified under Subdivision (3) is justified by an urgent need for the proposed medical procedure or treatment.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requirements of Section 266.053 are satisfied, the court may consider the child's consent to the proposed medical procedure or treatment related to an intersex trait as clear and convincing evidence for purposes of the court's best-interest determination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266.055.</w:t>
      </w:r>
      <w:r>
        <w:rPr>
          <w:u w:val="single"/>
        </w:rPr>
        <w:t xml:space="preserve"> </w:t>
      </w:r>
      <w:r>
        <w:rPr>
          <w:u w:val="single"/>
        </w:rPr>
        <w:t xml:space="preserve"> </w:t>
      </w:r>
      <w:r>
        <w:rPr>
          <w:u w:val="single"/>
        </w:rPr>
        <w:t xml:space="preserve">FOSTER CHILD'S CONSENT TO MEDICAL PROCEDURE OR TREATMENT.  Notwithstanding Section 32.003 or 266.004 or other law, a foster child may consent to a medical procedure or treatment related to an intersex trait if the child provides voluntary and informed consent to the proposed medical procedure or treatment in accordance with Section 266.053.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