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Raymond, Morales of Maverick,</w:t>
      </w:r>
      <w:r xml:space="preserve">
        <w:tab wTab="150" tlc="none" cTlc="0"/>
      </w:r>
      <w:r>
        <w:t xml:space="preserve">H.B.</w:t>
      </w:r>
      <w:r xml:space="preserve">
        <w:t> </w:t>
      </w:r>
      <w:r>
        <w:t xml:space="preserve">No.</w:t>
      </w:r>
      <w:r xml:space="preserve">
        <w:t> </w:t>
      </w:r>
      <w:r>
        <w:t xml:space="preserve">739</w:t>
      </w:r>
    </w:p>
    <w:p w:rsidR="003F3435" w:rsidRDefault="0032493E">
      <w:pPr>
        <w:jc w:val="both"/>
      </w:pPr>
      <w:r xml:space="preserve">
        <w:t> </w:t>
      </w:r>
      <w:r xml:space="preserve">
        <w:t> </w:t>
      </w:r>
      <w:r xml:space="preserve">
        <w:t> </w:t>
      </w:r>
      <w:r xml:space="preserve">
        <w:t> </w:t>
      </w:r>
      <w:r xml:space="preserve">
        <w:t> </w:t>
      </w:r>
      <w:r>
        <w:t xml:space="preserve">Hinojosa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739:</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administered by the Texas Veterans Commission to provide energy industry career training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434.027.</w:t>
      </w:r>
      <w:r>
        <w:rPr>
          <w:u w:val="single"/>
        </w:rPr>
        <w:t xml:space="preserve"> </w:t>
      </w:r>
      <w:r>
        <w:rPr>
          <w:u w:val="single"/>
        </w:rPr>
        <w:t xml:space="preserve"> </w:t>
      </w:r>
      <w:r>
        <w:rPr>
          <w:u w:val="single"/>
        </w:rPr>
        <w:t xml:space="preserve">GRANTS FOR PROFESSIONAL DEVELOPMENT.  (a) </w:t>
      </w:r>
      <w:r>
        <w:rPr>
          <w:u w:val="single"/>
        </w:rPr>
        <w:t xml:space="preserve"> </w:t>
      </w:r>
      <w:r>
        <w:rPr>
          <w:u w:val="single"/>
        </w:rPr>
        <w:t xml:space="preserve">The Texas Veterans Commission shall develop and administer a grant program to provide financial assistance to veterans seeking a certification or training to prepare for employment in the energy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the General Land Office and Veterans' Land Board, shall conduct an outreach campaign to encourage veterans to participate in the grant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grant program established under this section, including rules establishing criteria for eligibility and terms of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