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87R5051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restoration of civil rights to a criminal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48.05(a)(2),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This article applies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federal offense, other than an offense involving: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violence or the threat of violence;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drugs;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firearms;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the laws of another country, other than an offense involving: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violence or the threat of violence;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drugs;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firearms, if the elements of the offense are substantially similar to elements of an offense under the laws of this state punishable as a felony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the laws of this state, other than an offense involving: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violence or the threat of violence;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drugs;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firearms, if the offense is punishable as a felony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48.05(b),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individual may not apply for restoration of civil rights under this article unless: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individual has completed the sentence for the offense;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conviction occurred[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three or more years before the date of application[</w:t>
      </w:r>
      <w:r>
        <w:rPr>
          <w:strike/>
        </w:rPr>
        <w:t xml:space="preserve">, if the offense is a federal offense;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two or more years before the date of application, if the offense is an offense under the laws of another country;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individual has not been convicted at any other time of an offense under the laws of this state, another state, or the United States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to a defendant who is convicted of an offense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