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87R5052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consequences of successfully completing a period of deferred adjudication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42A.111, Code of Criminal Procedure, is amended by adding Subsections (c-1) and (c-2)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any other law, an offense for which the defendant received a dismissal and discharge under this article may be used only as described by Section 12.42(g)(1), Penal Code, or as otherwise described by this article. Subject to Subsection (c-2), an offense for which the defendant received a dismissal and discharge under this article may not be used as grounds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denying housing or employment to, or terminating the existing housing or employment of, an individual otherwise entitled to or qualified for the housing or employment;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denying issuance of a professional or occupational license to, or suspending or revoking the professional or occupational license of, an individual otherwise entitled to or qualified for the license.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for which the defendant received a discharge and dismissal under this article may be used as grounds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denying or terminating housing or employment, if the offense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Article 42A.054(a);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described by Article 62.001(5) or (6);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committed under Chapter 21 or 43,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denying, suspending, or revoking a professional or occupational license, if the offense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described by Subdivision (1)(A), (B), or (C);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related to the activity or conduct for which the person seeks or holds the license.</w:t>
      </w:r>
    </w:p>
    <w:p w:rsidR="003F3435" w:rsidRDefault="0032493E">
      <w:pPr>
        <w:spacing w:line="480" w:lineRule="auto"/>
        <w:ind w:firstLine="720"/>
        <w:jc w:val="both"/>
      </w:pPr>
      <w:r>
        <w:t xml:space="preserve">(d)</w:t>
      </w:r>
      <w:r xml:space="preserve">
        <w:t> </w:t>
      </w:r>
      <w:r xml:space="preserve">
        <w:t> </w:t>
      </w:r>
      <w:r>
        <w:t xml:space="preserve">For any defendant who receives a dismissal and discharge under this article</w:t>
      </w:r>
      <w:r>
        <w:rPr>
          <w:u w:val="single"/>
        </w:rPr>
        <w:t xml:space="preserve">,</w:t>
      </w:r>
      <w:r>
        <w:t xml:space="preserve">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on conviction of a subsequent offense, the fact that the defendant previously has received deferred adjudication community supervision is admissible before the court or jury for consideration on the issue of penalty[</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defendant is an applicant for or the holder of a license under Chapter 42, Human Resources Code, the Department of Family and Protective Services may consider the fact that the defendant previously has received deferred adjudication community supervision in issuing, renewing, denying, or revoking a license under that chapter;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defendant is an applicant for or the holder of a license to provide mental health or medical services for the rehabilitation of sex offenders, the Council on Sex Offender Treatment may consider the fact that the defendant previously has received deferred adjudication community supervision in issuing, renewing, denying, or revoking a license issued by that council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defendant placed on deferred adjudication community supervision for an offense committed on or after the effective date of this Act. </w:t>
      </w:r>
      <w:r>
        <w:t xml:space="preserve"> </w:t>
      </w:r>
      <w:r>
        <w:t xml:space="preserve">A defendant placed on deferred adjudication community supervision for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