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757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17,</w:t>
      </w:r>
      <w:r xml:space="preserve">
        <w:t> </w:t>
      </w:r>
      <w:r>
        <w:t xml:space="preserve">2021, read first time and referred to Committee on Criminal Justice; May</w:t>
      </w:r>
      <w:r xml:space="preserve">
        <w:t> </w:t>
      </w:r>
      <w:r>
        <w:t xml:space="preserve">22,</w:t>
      </w:r>
      <w:r xml:space="preserve">
        <w:t> </w:t>
      </w:r>
      <w:r>
        <w:t xml:space="preserve">2021, reported favorably by the following vote:</w:t>
      </w:r>
      <w:r>
        <w:t xml:space="preserve"> </w:t>
      </w:r>
      <w:r>
        <w:t xml:space="preserve"> </w:t>
      </w:r>
      <w:r>
        <w:t xml:space="preserve">Yeas 6, Nays 0; May</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consequences of receiving a grant of deferred adjudication community supervision and successfully completing the period of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42A.111, Code of Criminal Procedure,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any other law, an offense for which the defendant received a dismissal and discharge under this article may be used only as described by Section 12.42(g)(1), Penal Code, or as otherwise described by this article. Subject to Subsection (d), an offense for which the defendant received a dismissal and discharge under this article may not be 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p>
    <w:p w:rsidR="003F3435" w:rsidRDefault="0032493E">
      <w:pPr>
        <w:spacing w:line="480" w:lineRule="auto"/>
        <w:ind w:firstLine="1440"/>
        <w:jc w:val="both"/>
      </w:pPr>
      <w:r>
        <w:t xml:space="preserve">(1)</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42, Human Resources Code, the Department of Family and Protective Services may consider the fact that the defendant previously has received deferred adjudication community supervision in issuing, renewing, denying, or revoking a license under that chapter;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defendant is an applicant for or the holder of a professional or occupational license or certificate, the licensing agency may consider the fact that the defendant previously has received deferred adjudication community supervision in issuing, renewing, denying, or revoking a license or certificate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was placed on deferred adjudication community supervision for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listed in Article 42A.054(a);</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or (6);</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under Chapter 21 or 43, Penal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related to the activity or conduct for which the person seeks or holds the license;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profession for which the person holds or seeks a license or certificate involves direct contact with children in the normal course of official duties or duties for which the license or certification is required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defendant placed on deferred adjudication community supervision for an offense committed on or after the effective date of this Act. </w:t>
      </w:r>
      <w:r>
        <w:t xml:space="preserve"> </w:t>
      </w:r>
      <w:r>
        <w:t xml:space="preserve">A defendant placed on deferred adjudication community supervision for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