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87R647 JES-F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Harless</w:t>
      </w:r>
      <w:r xml:space="preserve">
        <w:tab wTab="150" tlc="none" cTlc="0"/>
      </w:r>
      <w:r>
        <w:t xml:space="preserve">H.B.</w:t>
      </w:r>
      <w:r xml:space="preserve">
        <w:t> </w:t>
      </w:r>
      <w:r>
        <w:t xml:space="preserve">No.</w:t>
      </w:r>
      <w:r xml:space="preserve">
        <w:t> </w:t>
      </w:r>
      <w:r>
        <w:t xml:space="preserve">759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operation of threat assessment teams in public schools and the establishment of a student threat assessment database;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37.115, Education Code, is amended by adding Subsections (f-1) and (h-1) to read as follows:</w:t>
      </w:r>
    </w:p>
    <w:p w:rsidR="003F3435" w:rsidRDefault="0032493E">
      <w:pPr>
        <w:spacing w:line="480" w:lineRule="auto"/>
        <w:ind w:firstLine="720"/>
        <w:jc w:val="both"/>
      </w:pPr>
      <w:r>
        <w:rPr>
          <w:u w:val="single"/>
        </w:rPr>
        <w:t xml:space="preserve">(f-1)</w:t>
      </w:r>
      <w:r>
        <w:rPr>
          <w:u w:val="single"/>
        </w:rPr>
        <w:t xml:space="preserve"> </w:t>
      </w:r>
      <w:r>
        <w:rPr>
          <w:u w:val="single"/>
        </w:rPr>
        <w:t xml:space="preserve"> </w:t>
      </w:r>
      <w:r>
        <w:rPr>
          <w:u w:val="single"/>
        </w:rPr>
        <w:t xml:space="preserve">A team must complete a threat assessment of an individual as required by Subsection (f) not later than the 30th day after the date on which the team began the assessment.</w:t>
      </w:r>
    </w:p>
    <w:p w:rsidR="003F3435" w:rsidRDefault="0032493E">
      <w:pPr>
        <w:spacing w:line="480" w:lineRule="auto"/>
        <w:ind w:firstLine="720"/>
        <w:jc w:val="both"/>
      </w:pPr>
      <w:r>
        <w:rPr>
          <w:u w:val="single"/>
        </w:rPr>
        <w:t xml:space="preserve">(h-1)</w:t>
      </w:r>
      <w:r>
        <w:rPr>
          <w:u w:val="single"/>
        </w:rPr>
        <w:t xml:space="preserve"> </w:t>
      </w:r>
      <w:r>
        <w:rPr>
          <w:u w:val="single"/>
        </w:rPr>
        <w:t xml:space="preserve"> </w:t>
      </w:r>
      <w:r>
        <w:rPr>
          <w:u w:val="single"/>
        </w:rPr>
        <w:t xml:space="preserve">Not later than the 10th day after the date on which a team makes a determination that a student poses a serious risk of violence to self or others, the team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enter the student's threat assessment into the threat assessment database established under Section 37.1151;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 a notation in the student's cumulative record that the student is included in the threat assessment database.</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D, Chapter 37, Education Code, is amended by adding Section 37.1151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37.1151.</w:t>
      </w:r>
      <w:r>
        <w:rPr>
          <w:u w:val="single"/>
        </w:rPr>
        <w:t xml:space="preserve"> </w:t>
      </w:r>
      <w:r>
        <w:rPr>
          <w:u w:val="single"/>
        </w:rPr>
        <w:t xml:space="preserve"> </w:t>
      </w:r>
      <w:r>
        <w:rPr>
          <w:u w:val="single"/>
        </w:rPr>
        <w:t xml:space="preserve">STUDENT THREAT ASSESSMENT DATABASE.  (a) The agency shall establish a database of student threat assessments conducted under Section 37.115 in which there was a determination that a student poses a serious risk of violence to self or others.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must allow access to the database reporting a student's threat assessment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peace officer or school resource officer assigned to a public or private primary or secondary school or open-enrollment charter school that the student has attended or currently attends;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principal or principal's designee and the superintendent or superintendent's designee at each  public or private primary or secondary school or open-enrollment charter school that the student has attended or currently attends.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authorized to access the threat assessment database under Subsection (b) may access information in the database solely for the purpose of ensuring school safety and security. A person shall keep any information received from the database confidential and may not use the information for a purpose that does not directly relate to the purpose for which it was obtained.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Information regarding a student's threat assessment reported in the threat assessment database must be permanently erased from the database on the date that the student reaches 21 years of age.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who has access to or obtains confidential information in the threat assessment database commits an offense if the person knowingly: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uses the information for a purpose other than ensuring school safety and security;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permits inspection of the confidential information by a person who is not authorized to inspect the information;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releases or discloses the confidential information to a person who is not entitled to the information.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offense under this section is a Class B misdemeanor.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commissioner shall adopt rules necessary to implement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Section 37.115(h-1), Education Code, as added by this Act, applies beginning January 1, 2022.</w:t>
      </w:r>
    </w:p>
    <w:p w:rsidR="003F3435" w:rsidRDefault="0032493E">
      <w:pPr>
        <w:spacing w:line="480" w:lineRule="auto"/>
        <w:ind w:firstLine="720"/>
        <w:jc w:val="both"/>
      </w:pPr>
      <w:r>
        <w:t xml:space="preserve">(b)</w:t>
      </w:r>
      <w:r xml:space="preserve">
        <w:t> </w:t>
      </w:r>
      <w:r xml:space="preserve">
        <w:t> </w:t>
      </w:r>
      <w:r>
        <w:t xml:space="preserve">As soon as practicable after the effective date of this Act but not later than January 1, 2022, the commissioner of education shall establish the threat assessment database as required by Section 37.1151, Education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759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