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87R3699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entry into the Texas Crime Information Center of certain information regarding orders imposing a condition of bond in a criminal case involving a violent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17.50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17.50.</w:t>
      </w:r>
      <w:r>
        <w:rPr>
          <w:u w:val="single"/>
        </w:rPr>
        <w:t xml:space="preserve"> </w:t>
      </w:r>
      <w:r>
        <w:rPr>
          <w:u w:val="single"/>
        </w:rPr>
        <w:t xml:space="preserve"> </w:t>
      </w:r>
      <w:r>
        <w:rPr>
          <w:u w:val="single"/>
        </w:rPr>
        <w:t xml:space="preserve">ENTRY INTO TEXAS CRIME INFORMATION CENTER OF CERTAIN INFORMATION IN CASES INVOLVING VIOLENT OFFENSES; DUTIES OF MAGISTRATES, SHERIFFS, AND DEPARTMENT OF PUBLIC SAFETY. </w:t>
      </w:r>
      <w:r>
        <w:rPr>
          <w:u w:val="single"/>
        </w:rPr>
        <w:t xml:space="preserve"> </w:t>
      </w:r>
      <w:r>
        <w:rPr>
          <w:u w:val="single"/>
        </w:rPr>
        <w:t xml:space="preserve">(a)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day"</w:t>
      </w:r>
      <w:r>
        <w:rPr>
          <w:u w:val="single"/>
        </w:rPr>
        <w:t xml:space="preserve"> </w:t>
      </w:r>
      <w:r>
        <w:rPr>
          <w:u w:val="single"/>
        </w:rPr>
        <w:t xml:space="preserve">means a day other than a Saturday, Sunday, or state or national holiday.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"Violent offense"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the following sections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 (murder);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20.03 (kidnapping);</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22.02 (aggravated assault);</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Section 22.04 (injury to a child, elderly individual, or disabled individual);</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Section 29.03 (aggravated robbery);</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Section 21.02 (continuous sexual abuse of young child or children); 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Section 20A.03 (continuous trafficking of persons);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offense involving family violence, as defined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next day after the date a magistrate issues an order imposing a condition of bond on a defendant under this chapter for a violent offense, the magistrate shall notify the sheriff of the condition and provide to the sheriff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listed in Section 411.042(b)(6), Government Code, as that information relates to an order described by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order releasing the defendant on bond was issued;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court that issued the order releasing the defendant on bond.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but not later than the next day after the date the sheriff receives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(b), the sheriff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 the information into the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good faith effort to notify by telephone any named person the condition of bond is intended to protect, and if different and applicable, the victim of the alleged offense within 24 hours that the defendant to whom the order is directed has been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described by Subsection (c), the sheriff shall modify or remove the appropriate record in the database.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of Public Safety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modify the database to enable the database to accept and maintain detailed information on active conditions of bond regarding the requirements and status of a condition of bond imposed by a magistrate for a violent offense, including information described by Subsections (b)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2021, the Department of Public Safety of the State of Texas shall modify the statewide law enforcement information system maintained by the department, also known as the Texas Crime Information Center, to enable the database to accept and maintain detailed information regarding the requirements and status of an active condition of bond imposed by a magistrate for a violent offense, as required by Article 17.50(f),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this Act takes effect January 1, 2022.</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