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87R20512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Hunter, Lozano, Dominguez</w:t>
      </w:r>
      <w:r xml:space="preserve">
        <w:tab wTab="150" tlc="none" cTlc="0"/>
      </w:r>
      <w:r>
        <w:t xml:space="preserve">H.B.</w:t>
      </w:r>
      <w:r xml:space="preserve">
        <w:t> </w:t>
      </w:r>
      <w:r>
        <w:t xml:space="preserve">No.</w:t>
      </w:r>
      <w:r xml:space="preserve">
        <w:t> </w:t>
      </w:r>
      <w:r>
        <w:t xml:space="preserve">769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769:</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2210, Insurance Code, is amended by adding Section 2210.063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2210.063.</w:t>
      </w:r>
      <w:r>
        <w:rPr>
          <w:u w:val="single"/>
        </w:rPr>
        <w:t xml:space="preserve"> </w:t>
      </w:r>
      <w:r>
        <w:rPr>
          <w:u w:val="single"/>
        </w:rPr>
        <w:t xml:space="preserve"> </w:t>
      </w:r>
      <w:r>
        <w:rPr>
          <w:u w:val="single"/>
        </w:rPr>
        <w:t xml:space="preserve">LOCATION OF ASSOCIATION HEADQUARTERS.  The headquarters of the association must be located in a first tier coastal county or second tier coastal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2210, Insurance Code, is amended by adding Section 2210.3512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2210.3512.</w:t>
      </w:r>
      <w:r>
        <w:rPr>
          <w:u w:val="single"/>
        </w:rPr>
        <w:t xml:space="preserve"> </w:t>
      </w:r>
      <w:r>
        <w:rPr>
          <w:u w:val="single"/>
        </w:rPr>
        <w:t xml:space="preserve"> </w:t>
      </w:r>
      <w:r>
        <w:rPr>
          <w:u w:val="single"/>
        </w:rPr>
        <w:t xml:space="preserve">REQUIREMENT FOR VOTE ON RATE FILING.  The board of directors may not vote on a proposed rate filing if there is a vacancy on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2210.452(c),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each calendar year or policy year, the association shall use the net gain from operations of the association, including all premium and other revenue of the association in excess of incurred losses, operating expenses, public security obligations, and public security administrative expenses, to make payments to the trust fund </w:t>
      </w:r>
      <w:r>
        <w:rPr>
          <w:u w:val="single"/>
        </w:rPr>
        <w:t xml:space="preserve">or pay public security obligations, giving priority to the obligations with the highest interest rates</w:t>
      </w:r>
      <w:r>
        <w:t xml:space="preserve">[</w:t>
      </w:r>
      <w:r>
        <w:rPr>
          <w:strike/>
        </w:rPr>
        <w:t xml:space="preserve">, procure reinsurance, or use alternative risk financing mechanisms, or to make payments to the trust fund and procure reinsurance or use alternative risk financing mechanisms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2210.453, Insurance Code, is amended by adding Subsections (b-1), (b-2),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determining the probable maximum loss under Subsection (b), the association: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consider the cost of providing loss adjustments;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to the extent possible, contract with any disinterested third parties necessary to execute any hurricane risk simulation models that were executed in the preceding storm season;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if the association is unable to contract for the execution of a hurricane risk simulation model described by Subdivision (2), contract with any disinterested third party necessary to execute a hurricane risk simulation model that is substantially similar to the model for which the association is unable to contract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contract with any disinterested third parties to execute hurricane risk simulation models in addition to the models required by Subdivisions (2) and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provide to a third party executing a hurricane risk simulation model any information necessary to comply with this subsection;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not use a combination of hurricane risk simulation models to determine the probable maximum loss;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may use only the hurricane risk simulation model that produces the lowest probable maximum loss.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Any information produced in compliance with Subsection (b-1) shall be made publicly available on the Internet website of the association.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not purchase reinsurance under this section from an insurer or broker involved in the execution of the hurricane risk simulation model on which the association relies in determining the probable maximum loss applicable for the period covered by the reinsurance.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2210.611, Insurance Code, is amended to read as follows:</w:t>
      </w:r>
    </w:p>
    <w:p w:rsidR="003F3435" w:rsidRDefault="0032493E">
      <w:pPr>
        <w:spacing w:line="480" w:lineRule="auto"/>
        <w:ind w:firstLine="720"/>
        <w:jc w:val="both"/>
      </w:pPr>
      <w:r>
        <w:t xml:space="preserve">Sec.</w:t>
      </w:r>
      <w:r xml:space="preserve">
        <w:t> </w:t>
      </w:r>
      <w:r>
        <w:t xml:space="preserve">2210.611.</w:t>
      </w:r>
      <w:r xml:space="preserve">
        <w:t> </w:t>
      </w:r>
      <w:r xml:space="preserve">
        <w:t> </w:t>
      </w:r>
      <w:r>
        <w:t xml:space="preserve">EXCESS REVENUE COLLECTIONS AND INVESTMENT EARNINGS.  Revenue collected in any calendar year from a premium surcharge under Sections 2210.612, 2210.613, and 2210.6131 that exceeds the amount of the public security obligations and public security administrative expenses payable in that calendar year and interest earned on the funds may, in the discretion of the association, be:</w:t>
      </w:r>
    </w:p>
    <w:p w:rsidR="003F3435" w:rsidRDefault="0032493E">
      <w:pPr>
        <w:spacing w:line="480" w:lineRule="auto"/>
        <w:ind w:firstLine="1440"/>
        <w:jc w:val="both"/>
      </w:pPr>
      <w:r>
        <w:t xml:space="preserve">(1)</w:t>
      </w:r>
      <w:r xml:space="preserve">
        <w:t> </w:t>
      </w:r>
      <w:r xml:space="preserve">
        <w:t> </w:t>
      </w:r>
      <w:r>
        <w:t xml:space="preserve">used to pay public security obligations payable in the subsequent calendar year, offsetting the amount of the premium surcharge that would otherwise be required to be levied for the year under this subchapter;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used to redeem or purchase outstanding public securities[</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deposited in the catastrophe reserve trust fund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2210.664(b), Insurance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November 15, </w:t>
      </w:r>
      <w:r>
        <w:rPr>
          <w:u w:val="single"/>
        </w:rPr>
        <w:t xml:space="preserve">2022</w:t>
      </w:r>
      <w:r>
        <w:t xml:space="preserve"> [</w:t>
      </w:r>
      <w:r>
        <w:rPr>
          <w:strike/>
        </w:rPr>
        <w:t xml:space="preserve">2020</w:t>
      </w:r>
      <w:r>
        <w:t xml:space="preserve">], the board shall deliver </w:t>
      </w:r>
      <w:r>
        <w:rPr>
          <w:u w:val="single"/>
        </w:rPr>
        <w:t xml:space="preserve">a</w:t>
      </w:r>
      <w:r>
        <w:t xml:space="preserve"> [</w:t>
      </w:r>
      <w:r>
        <w:rPr>
          <w:strike/>
        </w:rPr>
        <w:t xml:space="preserve">the</w:t>
      </w:r>
      <w:r>
        <w:t xml:space="preserve">] report prepared under Subsection (a)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 and</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2210.665, Insurance Code, is amended to read as follows:</w:t>
      </w:r>
    </w:p>
    <w:p w:rsidR="003F3435" w:rsidRDefault="0032493E">
      <w:pPr>
        <w:spacing w:line="480" w:lineRule="auto"/>
        <w:ind w:firstLine="720"/>
        <w:jc w:val="both"/>
      </w:pPr>
      <w:r>
        <w:t xml:space="preserve">Sec.</w:t>
      </w:r>
      <w:r xml:space="preserve">
        <w:t> </w:t>
      </w:r>
      <w:r>
        <w:t xml:space="preserve">2210.665.</w:t>
      </w:r>
      <w:r xml:space="preserve">
        <w:t> </w:t>
      </w:r>
      <w:r xml:space="preserve">
        <w:t> </w:t>
      </w:r>
      <w:r>
        <w:t xml:space="preserve">EXPIRATION.  This subchapter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14(c) and (d), Chapter 790 (H.B. 1900), Acts of the 86th Legislature, Regular Session, 2019, are amended to read as follows:</w:t>
      </w:r>
    </w:p>
    <w:p w:rsidR="003F3435" w:rsidRDefault="0032493E">
      <w:pPr>
        <w:spacing w:line="480" w:lineRule="auto"/>
        <w:ind w:firstLine="720"/>
        <w:jc w:val="both"/>
      </w:pPr>
      <w:r>
        <w:t xml:space="preserve">(c)</w:t>
      </w:r>
      <w:r xml:space="preserve">
        <w:t> </w:t>
      </w:r>
      <w:r xml:space="preserve">
        <w:t> </w:t>
      </w:r>
      <w:r>
        <w:t xml:space="preserve">Not later than January 1, </w:t>
      </w:r>
      <w:r>
        <w:rPr>
          <w:u w:val="single"/>
        </w:rPr>
        <w:t xml:space="preserve">2023</w:t>
      </w:r>
      <w:r>
        <w:t xml:space="preserve"> [</w:t>
      </w:r>
      <w:r>
        <w:rPr>
          <w:strike/>
        </w:rPr>
        <w:t xml:space="preserve">2021</w:t>
      </w:r>
      <w:r>
        <w:t xml:space="preserve">], the windstorm insurance legislative oversight board shall submit to the governor, the lieutenant governor, the speaker of the house of representatives, and the Texas Department of Insurance a written report of </w:t>
      </w:r>
      <w:r>
        <w:rPr>
          <w:u w:val="single"/>
        </w:rPr>
        <w:t xml:space="preserve">a</w:t>
      </w:r>
      <w:r>
        <w:t xml:space="preserve"> [</w:t>
      </w:r>
      <w:r>
        <w:rPr>
          <w:strike/>
        </w:rPr>
        <w:t xml:space="preserve">the</w:t>
      </w:r>
      <w:r>
        <w:t xml:space="preserve">] study conducted under this section.  The report must include the findings and legislative recommendations of the board.</w:t>
      </w:r>
    </w:p>
    <w:p w:rsidR="003F3435" w:rsidRDefault="0032493E">
      <w:pPr>
        <w:spacing w:line="480" w:lineRule="auto"/>
        <w:ind w:firstLine="720"/>
        <w:jc w:val="both"/>
      </w:pPr>
      <w:r>
        <w:t xml:space="preserve">(d)</w:t>
      </w:r>
      <w:r xml:space="preserve">
        <w:t> </w:t>
      </w:r>
      <w:r xml:space="preserve">
        <w:t> </w:t>
      </w:r>
      <w:r>
        <w:t xml:space="preserve">This section expires January 1, </w:t>
      </w:r>
      <w:r>
        <w:rPr>
          <w:u w:val="single"/>
        </w:rPr>
        <w:t xml:space="preserve">2024</w:t>
      </w:r>
      <w:r>
        <w:t xml:space="preserve"> [</w:t>
      </w:r>
      <w:r>
        <w:rPr>
          <w:strike/>
        </w:rPr>
        <w:t xml:space="preserve">2022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2210.063, Insurance Code, as added by this Act, applies to the Texas Windstorm Insurance Association beginning January 1, 2023.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Texas Department of Insurance shall amend the Texas Windstorm Insurance Association's plan of operation to conform to the changes in law made by this Act not later than the 60th day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