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769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13,</w:t>
      </w:r>
      <w:r xml:space="preserve">
        <w:t> </w:t>
      </w:r>
      <w:r>
        <w:t xml:space="preserve">2021, read first time and referred to Committee on Natural Resources &amp; Economic Development; May 19, 2021, rereferred to Committee on Jurisprudence;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5, </w:t>
      </w:r>
      <w:r>
        <w:t xml:space="preserve"> </w:t>
      </w:r>
      <w:r>
        <w:t xml:space="preserve"> </w:t>
      </w:r>
      <w:r>
        <w:t xml:space="preserve"> </w:t>
      </w:r>
      <w:r>
        <w:t xml:space="preserve">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769</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2210, Insurance Code, is amended by adding Section 2210.3512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2210.3512.</w:t>
      </w:r>
      <w:r>
        <w:rPr>
          <w:u w:val="single"/>
        </w:rPr>
        <w:t xml:space="preserve"> </w:t>
      </w:r>
      <w:r>
        <w:rPr>
          <w:u w:val="single"/>
        </w:rPr>
        <w:t xml:space="preserve"> </w:t>
      </w:r>
      <w:r>
        <w:rPr>
          <w:u w:val="single"/>
        </w:rPr>
        <w:t xml:space="preserve">REQUIREMENT FOR VOTE ON RATE FILING.  The board of directors may not vote on a proposed rate filing if there is a vacancy on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2210.453, Insurance Code, is amended to read as follows:</w:t>
      </w:r>
    </w:p>
    <w:p w:rsidR="003F3435" w:rsidRDefault="0032493E">
      <w:pPr>
        <w:spacing w:line="480" w:lineRule="auto"/>
        <w:ind w:firstLine="720"/>
        <w:jc w:val="both"/>
      </w:pPr>
      <w:r>
        <w:t xml:space="preserve">Sec.</w:t>
      </w:r>
      <w:r xml:space="preserve">
        <w:t> </w:t>
      </w:r>
      <w:r>
        <w:t xml:space="preserve">2210.453.</w:t>
      </w:r>
      <w:r xml:space="preserve">
        <w:t> </w:t>
      </w:r>
      <w:r xml:space="preserve">
        <w:t> </w:t>
      </w:r>
      <w:r>
        <w:t xml:space="preserve">FUNDING LEVELS; REINSURANCE AND ALTERNATIVE RISK FINANCING MECHANISMS</w:t>
      </w:r>
      <w:r>
        <w:rPr>
          <w:u w:val="single"/>
        </w:rPr>
        <w:t xml:space="preserve">; REINSURANCE FROM CERTAIN INSURER OR BROKER PROHIBITED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2210.453, Insurance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not purchase reinsurance under this section from an insurer or broker involved in the execution of a catastrophe model on which the association relies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probable maximum loss applicable for the period covered by the reinsurance;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adopting rates under Section 2210.355.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Department of Insurance shall amend the Texas Windstorm Insurance Association's plan of operation to conform to the changes in law made by this Act not later than the 60th day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