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87R1954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Walle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repossession of a motor vehicle after default on an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4, Finance Code, is amended by adding Chapter 355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355. </w:t>
      </w:r>
      <w:r>
        <w:rPr>
          <w:u w:val="single"/>
        </w:rPr>
        <w:t xml:space="preserve"> </w:t>
      </w:r>
      <w:r>
        <w:rPr>
          <w:u w:val="single"/>
        </w:rPr>
        <w:t xml:space="preserve">REPOSSESSION OF MOTOR VEHICLE AFTER DEFAULT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"motor vehicle" has the meaning assigned by Section 348.001.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355.002.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COLLECTION OF DEFICIENCY BALANCE AFTER REPOSSESSION SALE.  (a) Notwithstanding any other law, a lender or other person who repossesses a motor vehicle after a default under a loan, lease, or other agreement and who sells the vehicle to secure repayment of the debt is not entitled to collect from the borrower any amount for a deficiency balance resulting from the sale if the value of the vehicle is less than $2,000 unless the borrower: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damages the vehicle;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wrongfully fails, after default and demand, to make the vehicle available to the lender or other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(a), the value of a motor vehicle is the fair market value of the vehicle on the date of repossession.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agreement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